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华文中宋" w:cs="Times New Roman"/>
          <w:b w:val="0"/>
          <w:bCs w:val="0"/>
          <w:sz w:val="36"/>
          <w:szCs w:val="36"/>
          <w:lang w:eastAsia="zh-CN"/>
        </w:rPr>
      </w:pPr>
    </w:p>
    <w:p>
      <w:pPr>
        <w:rPr>
          <w:rFonts w:hint="default" w:ascii="Times New Roman" w:hAnsi="Times New Roman" w:eastAsia="华文中宋" w:cs="Times New Roman"/>
          <w:color w:val="000000"/>
          <w:sz w:val="32"/>
          <w:szCs w:val="32"/>
        </w:rPr>
      </w:pPr>
    </w:p>
    <w:p>
      <w:pPr>
        <w:jc w:val="both"/>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附件3</w:t>
      </w:r>
    </w:p>
    <w:p>
      <w:pPr>
        <w:pStyle w:val="2"/>
        <w:rPr>
          <w:rFonts w:hint="default" w:ascii="Times New Roman" w:hAnsi="Times New Roman" w:eastAsia="黑体" w:cs="Times New Roman"/>
          <w:color w:val="000000"/>
          <w:sz w:val="32"/>
          <w:szCs w:val="32"/>
          <w:lang w:val="en-US" w:eastAsia="zh-CN"/>
        </w:rPr>
      </w:pPr>
    </w:p>
    <w:p>
      <w:pPr>
        <w:pStyle w:val="2"/>
        <w:rPr>
          <w:rFonts w:hint="default" w:ascii="Times New Roman" w:hAnsi="Times New Roman" w:eastAsia="黑体" w:cs="Times New Roman"/>
          <w:color w:val="000000"/>
          <w:sz w:val="32"/>
          <w:szCs w:val="32"/>
          <w:lang w:val="en-US" w:eastAsia="zh-CN"/>
        </w:rPr>
      </w:pPr>
    </w:p>
    <w:p>
      <w:pPr>
        <w:pStyle w:val="2"/>
        <w:rPr>
          <w:rFonts w:hint="default" w:ascii="Times New Roman" w:hAnsi="Times New Roman" w:eastAsia="黑体" w:cs="Times New Roman"/>
          <w:color w:val="000000"/>
          <w:sz w:val="32"/>
          <w:szCs w:val="32"/>
          <w:lang w:val="en-US" w:eastAsia="zh-CN"/>
        </w:rPr>
      </w:pPr>
    </w:p>
    <w:p>
      <w:pPr>
        <w:pStyle w:val="2"/>
        <w:rPr>
          <w:rFonts w:hint="default" w:ascii="Times New Roman" w:hAnsi="Times New Roman" w:eastAsia="黑体" w:cs="Times New Roman"/>
          <w:color w:val="000000"/>
          <w:sz w:val="32"/>
          <w:szCs w:val="32"/>
          <w:lang w:val="en-US" w:eastAsia="zh-CN"/>
        </w:rPr>
      </w:pPr>
    </w:p>
    <w:p>
      <w:pPr>
        <w:pStyle w:val="2"/>
        <w:rPr>
          <w:rFonts w:hint="default" w:ascii="Times New Roman" w:hAnsi="Times New Roman" w:eastAsia="黑体" w:cs="Times New Roman"/>
          <w:color w:val="000000"/>
          <w:sz w:val="32"/>
          <w:szCs w:val="32"/>
          <w:lang w:val="en-US" w:eastAsia="zh-CN"/>
        </w:rPr>
      </w:pPr>
    </w:p>
    <w:p>
      <w:pPr>
        <w:ind w:left="105" w:leftChars="50" w:right="105" w:rightChars="50"/>
        <w:jc w:val="center"/>
        <w:rPr>
          <w:rFonts w:hint="default" w:ascii="Times New Roman" w:hAnsi="Times New Roman" w:eastAsia="华文中宋" w:cs="Times New Roman"/>
          <w:color w:val="000000"/>
          <w:sz w:val="44"/>
          <w:szCs w:val="44"/>
        </w:rPr>
      </w:pPr>
      <w:r>
        <w:rPr>
          <w:rFonts w:hint="default" w:ascii="Times New Roman" w:hAnsi="Times New Roman" w:eastAsia="华文中宋" w:cs="Times New Roman"/>
          <w:sz w:val="44"/>
          <w:szCs w:val="44"/>
        </w:rPr>
        <w:t>202</w:t>
      </w:r>
      <w:r>
        <w:rPr>
          <w:rFonts w:hint="default" w:ascii="Times New Roman" w:hAnsi="Times New Roman" w:eastAsia="华文中宋" w:cs="Times New Roman"/>
          <w:sz w:val="44"/>
          <w:szCs w:val="44"/>
          <w:lang w:val="en-US" w:eastAsia="zh-CN"/>
        </w:rPr>
        <w:t>3</w:t>
      </w:r>
      <w:r>
        <w:rPr>
          <w:rFonts w:hint="default" w:ascii="Times New Roman" w:hAnsi="Times New Roman" w:eastAsia="华文中宋" w:cs="Times New Roman"/>
          <w:color w:val="000000"/>
          <w:sz w:val="44"/>
          <w:szCs w:val="44"/>
        </w:rPr>
        <w:t>年全国休闲农业重点县监测表</w:t>
      </w:r>
    </w:p>
    <w:p>
      <w:pPr>
        <w:ind w:left="105" w:leftChars="50" w:right="105" w:rightChars="50"/>
        <w:jc w:val="center"/>
        <w:rPr>
          <w:rFonts w:hint="default" w:ascii="Times New Roman" w:hAnsi="Times New Roman" w:eastAsia="华文中宋" w:cs="Times New Roman"/>
          <w:color w:val="000000"/>
          <w:sz w:val="32"/>
          <w:szCs w:val="32"/>
        </w:rPr>
      </w:pPr>
      <w:r>
        <w:rPr>
          <w:rFonts w:hint="default" w:ascii="Times New Roman" w:hAnsi="Times New Roman" w:eastAsia="华文中宋" w:cs="Times New Roman"/>
          <w:color w:val="000000"/>
          <w:sz w:val="32"/>
          <w:szCs w:val="32"/>
        </w:rPr>
        <w:t xml:space="preserve"> </w:t>
      </w:r>
    </w:p>
    <w:p>
      <w:pPr>
        <w:ind w:left="105" w:leftChars="50" w:right="105" w:rightChars="50"/>
        <w:rPr>
          <w:rFonts w:hint="default" w:ascii="Times New Roman" w:hAnsi="Times New Roman" w:eastAsia="华文中宋" w:cs="Times New Roman"/>
          <w:color w:val="000000"/>
          <w:sz w:val="32"/>
          <w:szCs w:val="32"/>
        </w:rPr>
      </w:pPr>
      <w:r>
        <w:rPr>
          <w:rFonts w:hint="default" w:ascii="Times New Roman" w:hAnsi="Times New Roman" w:eastAsia="华文中宋" w:cs="Times New Roman"/>
          <w:color w:val="000000"/>
          <w:sz w:val="32"/>
          <w:szCs w:val="32"/>
        </w:rPr>
        <w:t xml:space="preserve"> </w:t>
      </w:r>
    </w:p>
    <w:p>
      <w:pPr>
        <w:ind w:left="105" w:leftChars="50" w:right="105" w:rightChars="50" w:firstLine="645"/>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ind w:left="105" w:leftChars="50" w:right="105" w:rightChars="5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ind w:left="105" w:leftChars="50" w:right="105" w:rightChars="50" w:firstLine="645"/>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ind w:left="105" w:leftChars="50" w:right="105" w:rightChars="50" w:firstLine="645"/>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ind w:left="105" w:leftChars="50" w:right="105" w:rightChars="5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ind w:right="105" w:rightChars="5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填报单位：</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省（自治区、直辖市）</w:t>
      </w:r>
    </w:p>
    <w:p>
      <w:pPr>
        <w:ind w:right="105" w:rightChars="50" w:firstLine="1600" w:firstLineChars="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市（地、州、盟）</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县（市、区</w:t>
      </w:r>
      <w:r>
        <w:rPr>
          <w:rFonts w:hint="eastAsia" w:ascii="Times New Roman" w:hAnsi="Times New Roman" w:eastAsia="仿宋_GB2312" w:cs="Times New Roman"/>
          <w:color w:val="000000"/>
          <w:sz w:val="32"/>
          <w:szCs w:val="32"/>
          <w:lang w:eastAsia="zh-CN"/>
        </w:rPr>
        <w:t>、旗</w:t>
      </w:r>
      <w:r>
        <w:rPr>
          <w:rFonts w:hint="default" w:ascii="Times New Roman" w:hAnsi="Times New Roman" w:eastAsia="仿宋_GB2312" w:cs="Times New Roman"/>
          <w:color w:val="000000"/>
          <w:sz w:val="32"/>
          <w:szCs w:val="32"/>
        </w:rPr>
        <w:t>）</w:t>
      </w:r>
    </w:p>
    <w:p>
      <w:pPr>
        <w:ind w:right="105" w:rightChars="5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填报时间：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p>
    <w:p>
      <w:pPr>
        <w:ind w:left="105" w:leftChars="50" w:right="105" w:rightChars="5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p>
    <w:p>
      <w:pPr>
        <w:ind w:left="105" w:leftChars="50" w:right="105" w:rightChars="50"/>
        <w:rPr>
          <w:rFonts w:hint="default" w:ascii="Times New Roman" w:hAnsi="Times New Roman" w:cs="Times New Roman"/>
          <w:color w:val="000000"/>
          <w:szCs w:val="21"/>
        </w:rPr>
      </w:pPr>
      <w:r>
        <w:rPr>
          <w:rFonts w:hint="default" w:ascii="Times New Roman" w:hAnsi="Times New Roman" w:eastAsia="仿宋" w:cs="Times New Roman"/>
          <w:color w:val="000000"/>
          <w:sz w:val="32"/>
          <w:szCs w:val="32"/>
        </w:rPr>
        <w:t xml:space="preserve"> </w:t>
      </w:r>
    </w:p>
    <w:p>
      <w:pPr>
        <w:pStyle w:val="2"/>
        <w:rPr>
          <w:rFonts w:hint="default" w:ascii="Times New Roman" w:hAnsi="Times New Roman" w:cs="Times New Roman"/>
          <w:color w:val="000000"/>
          <w:szCs w:val="21"/>
        </w:rPr>
      </w:pPr>
    </w:p>
    <w:p>
      <w:pPr>
        <w:pStyle w:val="2"/>
        <w:rPr>
          <w:rFonts w:hint="default" w:ascii="Times New Roman" w:hAnsi="Times New Roman" w:cs="Times New Roman"/>
          <w:color w:val="000000"/>
          <w:szCs w:val="21"/>
        </w:rPr>
      </w:pPr>
    </w:p>
    <w:p>
      <w:pPr>
        <w:pStyle w:val="2"/>
        <w:rPr>
          <w:rFonts w:hint="default" w:ascii="Times New Roman" w:hAnsi="Times New Roman" w:cs="Times New Roman"/>
          <w:color w:val="000000"/>
          <w:szCs w:val="21"/>
        </w:rPr>
      </w:pPr>
    </w:p>
    <w:p>
      <w:pPr>
        <w:pStyle w:val="2"/>
        <w:rPr>
          <w:rFonts w:hint="default" w:ascii="Times New Roman" w:hAnsi="Times New Roman" w:cs="Times New Roman"/>
          <w:color w:val="000000"/>
          <w:szCs w:val="21"/>
        </w:rPr>
      </w:pPr>
    </w:p>
    <w:p>
      <w:pPr>
        <w:pStyle w:val="2"/>
        <w:rPr>
          <w:rFonts w:hint="default" w:ascii="Times New Roman" w:hAnsi="Times New Roman" w:cs="Times New Roman"/>
          <w:color w:val="000000"/>
          <w:szCs w:val="21"/>
        </w:rPr>
      </w:pPr>
    </w:p>
    <w:p>
      <w:pPr>
        <w:pStyle w:val="2"/>
        <w:rPr>
          <w:rFonts w:hint="default" w:ascii="Times New Roman" w:hAnsi="Times New Roman" w:cs="Times New Roman"/>
          <w:color w:val="000000"/>
          <w:szCs w:val="21"/>
        </w:rPr>
      </w:pPr>
    </w:p>
    <w:p>
      <w:pPr>
        <w:widowControl/>
        <w:ind w:left="105" w:leftChars="50" w:right="105" w:rightChars="50"/>
        <w:rPr>
          <w:rFonts w:hint="default" w:ascii="Times New Roman" w:hAnsi="Times New Roman" w:cs="Times New Roman"/>
          <w:color w:val="000000"/>
        </w:rPr>
      </w:pPr>
      <w:r>
        <w:rPr>
          <w:rFonts w:hint="default" w:ascii="Times New Roman" w:hAnsi="Times New Roman" w:cs="Times New Roman"/>
          <w:color w:val="000000"/>
          <w:szCs w:val="21"/>
        </w:rPr>
        <w:t xml:space="preserve"> </w:t>
      </w:r>
    </w:p>
    <w:p>
      <w:pPr>
        <w:widowControl/>
        <w:ind w:left="105" w:leftChars="50" w:right="105" w:rightChars="50"/>
        <w:rPr>
          <w:rFonts w:hint="default" w:ascii="Times New Roman" w:hAnsi="Times New Roman" w:cs="Times New Roman"/>
          <w:color w:val="000000"/>
        </w:rPr>
      </w:pPr>
      <w:r>
        <w:rPr>
          <w:rFonts w:hint="default" w:ascii="Times New Roman" w:hAnsi="Times New Roman" w:cs="Times New Roman"/>
          <w:color w:val="000000"/>
          <w:szCs w:val="21"/>
        </w:rPr>
        <w:t xml:space="preserve"> </w:t>
      </w:r>
    </w:p>
    <w:p>
      <w:pPr>
        <w:ind w:left="105" w:leftChars="50" w:right="105" w:rightChars="50"/>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中华人民共和国农业农村部</w:t>
      </w:r>
    </w:p>
    <w:p>
      <w:pPr>
        <w:ind w:left="105" w:leftChars="50" w:right="105" w:rightChars="5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br w:type="page"/>
      </w:r>
    </w:p>
    <w:tbl>
      <w:tblPr>
        <w:tblStyle w:val="6"/>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1116"/>
        <w:gridCol w:w="1322"/>
        <w:gridCol w:w="180"/>
        <w:gridCol w:w="726"/>
        <w:gridCol w:w="1357"/>
        <w:gridCol w:w="1305"/>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rPr>
            </w:pPr>
            <w:r>
              <w:rPr>
                <w:rFonts w:hint="default" w:ascii="Times New Roman" w:hAnsi="Times New Roman" w:cs="Times New Roman"/>
                <w:b/>
                <w:color w:val="000000"/>
                <w:szCs w:val="21"/>
              </w:rPr>
              <w:t>重点县（市、区）名称</w:t>
            </w:r>
          </w:p>
        </w:tc>
        <w:tc>
          <w:tcPr>
            <w:tcW w:w="6399" w:type="dxa"/>
            <w:gridSpan w:val="6"/>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rPr>
            </w:pPr>
            <w:r>
              <w:rPr>
                <w:rFonts w:hint="default" w:ascii="Times New Roman" w:hAnsi="Times New Roman" w:cs="Times New Roman"/>
                <w:b/>
                <w:color w:val="000000"/>
                <w:szCs w:val="21"/>
              </w:rPr>
              <w:t>联系单位</w:t>
            </w:r>
          </w:p>
        </w:tc>
        <w:tc>
          <w:tcPr>
            <w:tcW w:w="6399" w:type="dxa"/>
            <w:gridSpan w:val="6"/>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rPr>
            </w:pPr>
            <w:r>
              <w:rPr>
                <w:rFonts w:hint="default" w:ascii="Times New Roman" w:hAnsi="Times New Roman" w:cs="Times New Roman"/>
                <w:b/>
                <w:color w:val="000000"/>
                <w:szCs w:val="21"/>
              </w:rPr>
              <w:t>联系人</w:t>
            </w:r>
          </w:p>
        </w:tc>
        <w:tc>
          <w:tcPr>
            <w:tcW w:w="1322" w:type="dxa"/>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color w:val="000000"/>
              </w:rPr>
            </w:pPr>
          </w:p>
        </w:tc>
        <w:tc>
          <w:tcPr>
            <w:tcW w:w="906" w:type="dxa"/>
            <w:gridSpan w:val="2"/>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rPr>
            </w:pPr>
            <w:r>
              <w:rPr>
                <w:rFonts w:hint="default" w:ascii="Times New Roman" w:hAnsi="Times New Roman" w:cs="Times New Roman"/>
                <w:b/>
                <w:color w:val="000000"/>
                <w:szCs w:val="21"/>
              </w:rPr>
              <w:t>电话</w:t>
            </w:r>
          </w:p>
        </w:tc>
        <w:tc>
          <w:tcPr>
            <w:tcW w:w="1357" w:type="dxa"/>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color w:val="000000"/>
              </w:rPr>
            </w:pPr>
          </w:p>
        </w:tc>
        <w:tc>
          <w:tcPr>
            <w:tcW w:w="1305" w:type="dxa"/>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rPr>
            </w:pPr>
            <w:r>
              <w:rPr>
                <w:rFonts w:hint="default" w:ascii="Times New Roman" w:hAnsi="Times New Roman" w:cs="Times New Roman"/>
                <w:b/>
                <w:color w:val="000000"/>
                <w:szCs w:val="21"/>
              </w:rPr>
              <w:t>手机</w:t>
            </w:r>
          </w:p>
        </w:tc>
        <w:tc>
          <w:tcPr>
            <w:tcW w:w="1509" w:type="dxa"/>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rPr>
            </w:pPr>
            <w:r>
              <w:rPr>
                <w:rFonts w:hint="default" w:ascii="Times New Roman" w:hAnsi="Times New Roman" w:cs="Times New Roman"/>
                <w:b/>
                <w:color w:val="000000"/>
                <w:szCs w:val="21"/>
              </w:rPr>
              <w:t>通讯地址</w:t>
            </w:r>
          </w:p>
        </w:tc>
        <w:tc>
          <w:tcPr>
            <w:tcW w:w="3585" w:type="dxa"/>
            <w:gridSpan w:val="4"/>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color w:val="000000"/>
              </w:rPr>
            </w:pPr>
          </w:p>
        </w:tc>
        <w:tc>
          <w:tcPr>
            <w:tcW w:w="1305" w:type="dxa"/>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rPr>
            </w:pPr>
            <w:r>
              <w:rPr>
                <w:rFonts w:hint="default" w:ascii="Times New Roman" w:hAnsi="Times New Roman" w:cs="Times New Roman"/>
                <w:b/>
                <w:color w:val="000000"/>
                <w:szCs w:val="21"/>
              </w:rPr>
              <w:t>邮编</w:t>
            </w:r>
          </w:p>
        </w:tc>
        <w:tc>
          <w:tcPr>
            <w:tcW w:w="1509" w:type="dxa"/>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szCs w:val="21"/>
              </w:rPr>
            </w:pPr>
            <w:r>
              <w:rPr>
                <w:rFonts w:hint="default" w:ascii="Times New Roman" w:hAnsi="Times New Roman" w:cs="Times New Roman"/>
                <w:b/>
                <w:color w:val="000000"/>
                <w:szCs w:val="21"/>
              </w:rPr>
              <w:t>全县（市、区）农村无害化卫生户厕普及率</w:t>
            </w:r>
            <w:r>
              <w:rPr>
                <w:rFonts w:hint="default" w:ascii="Times New Roman" w:hAnsi="Times New Roman" w:cs="Times New Roman"/>
                <w:b/>
                <w:szCs w:val="21"/>
              </w:rPr>
              <w:t>（%）</w:t>
            </w:r>
          </w:p>
        </w:tc>
        <w:tc>
          <w:tcPr>
            <w:tcW w:w="1502" w:type="dxa"/>
            <w:gridSpan w:val="2"/>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color w:val="000000"/>
              </w:rPr>
            </w:pPr>
          </w:p>
        </w:tc>
        <w:tc>
          <w:tcPr>
            <w:tcW w:w="3388" w:type="dxa"/>
            <w:gridSpan w:val="3"/>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szCs w:val="21"/>
              </w:rPr>
            </w:pPr>
            <w:r>
              <w:rPr>
                <w:rFonts w:hint="default" w:ascii="Times New Roman" w:hAnsi="Times New Roman" w:cs="Times New Roman"/>
                <w:b/>
                <w:color w:val="000000"/>
                <w:szCs w:val="21"/>
              </w:rPr>
              <w:t>全县（市、区）农村生活垃圾收运处理的自然村比例</w:t>
            </w:r>
            <w:r>
              <w:rPr>
                <w:rFonts w:hint="default" w:ascii="Times New Roman" w:hAnsi="Times New Roman" w:cs="Times New Roman"/>
                <w:b/>
                <w:szCs w:val="21"/>
              </w:rPr>
              <w:t>（%）</w:t>
            </w:r>
          </w:p>
        </w:tc>
        <w:tc>
          <w:tcPr>
            <w:tcW w:w="1509" w:type="dxa"/>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szCs w:val="21"/>
              </w:rPr>
            </w:pPr>
            <w:r>
              <w:rPr>
                <w:rFonts w:hint="default" w:ascii="Times New Roman" w:hAnsi="Times New Roman" w:cs="Times New Roman"/>
                <w:b/>
                <w:color w:val="000000"/>
                <w:szCs w:val="21"/>
              </w:rPr>
              <w:t>全县（市、区）休闲农业聚集村</w:t>
            </w:r>
            <w:r>
              <w:rPr>
                <w:rFonts w:hint="default" w:ascii="Times New Roman" w:hAnsi="Times New Roman" w:cs="Times New Roman"/>
                <w:b/>
                <w:szCs w:val="21"/>
              </w:rPr>
              <w:t>数量</w:t>
            </w:r>
            <w:r>
              <w:rPr>
                <w:rFonts w:hint="default" w:ascii="Times New Roman" w:hAnsi="Times New Roman" w:cs="Times New Roman"/>
                <w:b/>
                <w:color w:val="000000"/>
                <w:szCs w:val="21"/>
              </w:rPr>
              <w:t>（个）</w:t>
            </w:r>
          </w:p>
        </w:tc>
        <w:tc>
          <w:tcPr>
            <w:tcW w:w="1502" w:type="dxa"/>
            <w:gridSpan w:val="2"/>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color w:val="000000"/>
              </w:rPr>
            </w:pPr>
          </w:p>
        </w:tc>
        <w:tc>
          <w:tcPr>
            <w:tcW w:w="3388" w:type="dxa"/>
            <w:gridSpan w:val="3"/>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szCs w:val="21"/>
              </w:rPr>
            </w:pPr>
            <w:r>
              <w:rPr>
                <w:rFonts w:hint="default" w:ascii="Times New Roman" w:hAnsi="Times New Roman" w:cs="Times New Roman"/>
                <w:b/>
                <w:color w:val="000000"/>
                <w:szCs w:val="21"/>
              </w:rPr>
              <w:t>全县（市、区）行政村</w:t>
            </w:r>
            <w:r>
              <w:rPr>
                <w:rFonts w:hint="default" w:ascii="Times New Roman" w:hAnsi="Times New Roman" w:cs="Times New Roman"/>
                <w:b/>
                <w:szCs w:val="21"/>
              </w:rPr>
              <w:t>数量(个）</w:t>
            </w:r>
          </w:p>
        </w:tc>
        <w:tc>
          <w:tcPr>
            <w:tcW w:w="1509" w:type="dxa"/>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szCs w:val="21"/>
              </w:rPr>
            </w:pPr>
            <w:r>
              <w:rPr>
                <w:rFonts w:hint="default" w:ascii="Times New Roman" w:hAnsi="Times New Roman" w:cs="Times New Roman"/>
                <w:b/>
                <w:color w:val="000000"/>
                <w:szCs w:val="21"/>
              </w:rPr>
              <w:t>全县（市、区）拥有游客服务中心的休闲农业聚集村数量（个）</w:t>
            </w:r>
          </w:p>
        </w:tc>
        <w:tc>
          <w:tcPr>
            <w:tcW w:w="1502" w:type="dxa"/>
            <w:gridSpan w:val="2"/>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color w:val="000000"/>
              </w:rPr>
            </w:pPr>
          </w:p>
        </w:tc>
        <w:tc>
          <w:tcPr>
            <w:tcW w:w="3388" w:type="dxa"/>
            <w:gridSpan w:val="3"/>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szCs w:val="21"/>
              </w:rPr>
            </w:pPr>
            <w:r>
              <w:rPr>
                <w:rFonts w:hint="default" w:ascii="Times New Roman" w:hAnsi="Times New Roman" w:cs="Times New Roman"/>
                <w:b/>
                <w:color w:val="000000"/>
                <w:szCs w:val="21"/>
              </w:rPr>
              <w:t>全县（市、区）拥有旅游标识系统的休闲农业聚集村数量（个）</w:t>
            </w:r>
          </w:p>
        </w:tc>
        <w:tc>
          <w:tcPr>
            <w:tcW w:w="1509" w:type="dxa"/>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szCs w:val="21"/>
              </w:rPr>
            </w:pPr>
            <w:r>
              <w:rPr>
                <w:rFonts w:hint="default" w:ascii="Times New Roman" w:hAnsi="Times New Roman" w:cs="Times New Roman"/>
                <w:b/>
                <w:color w:val="000000"/>
                <w:szCs w:val="21"/>
              </w:rPr>
              <w:t>全县（市、区）非物质文化遗产数量（个）</w:t>
            </w:r>
          </w:p>
        </w:tc>
        <w:tc>
          <w:tcPr>
            <w:tcW w:w="1502" w:type="dxa"/>
            <w:gridSpan w:val="2"/>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color w:val="000000"/>
              </w:rPr>
            </w:pPr>
          </w:p>
        </w:tc>
        <w:tc>
          <w:tcPr>
            <w:tcW w:w="3388" w:type="dxa"/>
            <w:gridSpan w:val="3"/>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szCs w:val="21"/>
              </w:rPr>
            </w:pPr>
            <w:r>
              <w:rPr>
                <w:rFonts w:hint="default" w:ascii="Times New Roman" w:hAnsi="Times New Roman" w:cs="Times New Roman"/>
                <w:b/>
                <w:color w:val="000000"/>
                <w:szCs w:val="21"/>
              </w:rPr>
              <w:t>全县（市、区）地市级（含）以上科普教育基地数量（个）</w:t>
            </w:r>
          </w:p>
        </w:tc>
        <w:tc>
          <w:tcPr>
            <w:tcW w:w="1509" w:type="dxa"/>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left"/>
              <w:rPr>
                <w:rFonts w:hint="default" w:ascii="Times New Roman" w:hAnsi="Times New Roman" w:cs="Times New Roman"/>
                <w:b/>
                <w:color w:val="000000"/>
                <w:szCs w:val="21"/>
              </w:rPr>
            </w:pPr>
            <w:r>
              <w:rPr>
                <w:rFonts w:hint="default" w:ascii="Times New Roman" w:hAnsi="Times New Roman" w:cs="Times New Roman"/>
                <w:b/>
                <w:color w:val="000000"/>
                <w:szCs w:val="21"/>
              </w:rPr>
              <w:t>全县（市、区）生态休闲项目类型数量（个）</w:t>
            </w:r>
          </w:p>
        </w:tc>
        <w:tc>
          <w:tcPr>
            <w:tcW w:w="1502" w:type="dxa"/>
            <w:gridSpan w:val="2"/>
            <w:tcBorders>
              <w:top w:val="single" w:color="auto" w:sz="4" w:space="0"/>
              <w:left w:val="nil"/>
              <w:bottom w:val="single" w:color="auto" w:sz="4" w:space="0"/>
              <w:right w:val="single" w:color="auto" w:sz="4" w:space="0"/>
            </w:tcBorders>
            <w:noWrap w:val="0"/>
            <w:vAlign w:val="center"/>
          </w:tcPr>
          <w:p>
            <w:pPr>
              <w:ind w:left="105" w:leftChars="50" w:right="105" w:rightChars="50"/>
              <w:jc w:val="left"/>
              <w:rPr>
                <w:rFonts w:hint="default" w:ascii="Times New Roman" w:hAnsi="Times New Roman" w:cs="Times New Roman"/>
                <w:color w:val="000000"/>
              </w:rPr>
            </w:pPr>
          </w:p>
        </w:tc>
        <w:tc>
          <w:tcPr>
            <w:tcW w:w="3388" w:type="dxa"/>
            <w:gridSpan w:val="3"/>
            <w:tcBorders>
              <w:top w:val="single" w:color="auto" w:sz="4" w:space="0"/>
              <w:left w:val="nil"/>
              <w:bottom w:val="single" w:color="auto" w:sz="4" w:space="0"/>
              <w:right w:val="single" w:color="auto" w:sz="4" w:space="0"/>
            </w:tcBorders>
            <w:noWrap w:val="0"/>
            <w:vAlign w:val="center"/>
          </w:tcPr>
          <w:p>
            <w:pPr>
              <w:ind w:left="105" w:leftChars="50" w:right="105" w:rightChars="50"/>
              <w:jc w:val="left"/>
              <w:rPr>
                <w:rFonts w:hint="default" w:ascii="Times New Roman" w:hAnsi="Times New Roman" w:cs="Times New Roman"/>
                <w:b/>
                <w:color w:val="000000"/>
                <w:szCs w:val="21"/>
              </w:rPr>
            </w:pPr>
            <w:r>
              <w:rPr>
                <w:rFonts w:hint="default" w:ascii="Times New Roman" w:hAnsi="Times New Roman" w:cs="Times New Roman"/>
                <w:b/>
                <w:color w:val="000000"/>
                <w:szCs w:val="21"/>
              </w:rPr>
              <w:t>全县（市、区）乡村休闲文化体验项目类型数量（个）</w:t>
            </w:r>
          </w:p>
        </w:tc>
        <w:tc>
          <w:tcPr>
            <w:tcW w:w="1509" w:type="dxa"/>
            <w:tcBorders>
              <w:top w:val="single" w:color="auto" w:sz="4" w:space="0"/>
              <w:left w:val="nil"/>
              <w:bottom w:val="single" w:color="auto" w:sz="4" w:space="0"/>
              <w:right w:val="single" w:color="auto" w:sz="4" w:space="0"/>
            </w:tcBorders>
            <w:noWrap w:val="0"/>
            <w:vAlign w:val="center"/>
          </w:tcPr>
          <w:p>
            <w:pPr>
              <w:ind w:left="105" w:leftChars="50" w:right="105" w:rightChars="50"/>
              <w:jc w:val="left"/>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szCs w:val="21"/>
              </w:rPr>
            </w:pPr>
            <w:r>
              <w:rPr>
                <w:rFonts w:hint="default" w:ascii="Times New Roman" w:hAnsi="Times New Roman" w:cs="Times New Roman"/>
                <w:b/>
                <w:color w:val="000000"/>
                <w:szCs w:val="21"/>
              </w:rPr>
              <w:t>全县（市、区）村庄绿化覆盖率</w:t>
            </w:r>
            <w:r>
              <w:rPr>
                <w:rFonts w:hint="default" w:ascii="Times New Roman" w:hAnsi="Times New Roman" w:cs="Times New Roman"/>
                <w:b/>
                <w:szCs w:val="21"/>
              </w:rPr>
              <w:t>（%）</w:t>
            </w:r>
          </w:p>
        </w:tc>
        <w:tc>
          <w:tcPr>
            <w:tcW w:w="1502" w:type="dxa"/>
            <w:gridSpan w:val="2"/>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color w:val="000000"/>
              </w:rPr>
            </w:pPr>
          </w:p>
        </w:tc>
        <w:tc>
          <w:tcPr>
            <w:tcW w:w="3388" w:type="dxa"/>
            <w:gridSpan w:val="3"/>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szCs w:val="21"/>
              </w:rPr>
            </w:pPr>
            <w:r>
              <w:rPr>
                <w:rFonts w:hint="default" w:ascii="Times New Roman" w:hAnsi="Times New Roman" w:cs="Times New Roman"/>
                <w:b/>
                <w:color w:val="000000"/>
                <w:szCs w:val="21"/>
              </w:rPr>
              <w:t>全县（市、区）省级及以上美丽休闲乡村数量（个）</w:t>
            </w:r>
          </w:p>
        </w:tc>
        <w:tc>
          <w:tcPr>
            <w:tcW w:w="1509" w:type="dxa"/>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left"/>
              <w:rPr>
                <w:rFonts w:hint="default" w:ascii="Times New Roman" w:hAnsi="Times New Roman" w:cs="Times New Roman"/>
                <w:b/>
                <w:color w:val="000000"/>
                <w:szCs w:val="21"/>
              </w:rPr>
            </w:pPr>
            <w:r>
              <w:rPr>
                <w:rFonts w:hint="default" w:ascii="Times New Roman" w:hAnsi="Times New Roman" w:cs="Times New Roman"/>
                <w:b/>
                <w:color w:val="000000"/>
                <w:szCs w:val="21"/>
              </w:rPr>
              <w:t>全县（市、区）休闲农业从业人数（人）</w:t>
            </w:r>
          </w:p>
        </w:tc>
        <w:tc>
          <w:tcPr>
            <w:tcW w:w="1502" w:type="dxa"/>
            <w:gridSpan w:val="2"/>
            <w:tcBorders>
              <w:top w:val="single" w:color="auto" w:sz="4" w:space="0"/>
              <w:left w:val="nil"/>
              <w:bottom w:val="single" w:color="auto" w:sz="4" w:space="0"/>
              <w:right w:val="single" w:color="auto" w:sz="4" w:space="0"/>
            </w:tcBorders>
            <w:noWrap w:val="0"/>
            <w:vAlign w:val="center"/>
          </w:tcPr>
          <w:p>
            <w:pPr>
              <w:ind w:left="105" w:leftChars="50" w:right="105" w:rightChars="50"/>
              <w:jc w:val="left"/>
              <w:rPr>
                <w:rFonts w:hint="default" w:ascii="Times New Roman" w:hAnsi="Times New Roman" w:cs="Times New Roman"/>
                <w:color w:val="000000"/>
              </w:rPr>
            </w:pPr>
          </w:p>
        </w:tc>
        <w:tc>
          <w:tcPr>
            <w:tcW w:w="3388" w:type="dxa"/>
            <w:gridSpan w:val="3"/>
            <w:tcBorders>
              <w:top w:val="single" w:color="auto" w:sz="4" w:space="0"/>
              <w:left w:val="nil"/>
              <w:bottom w:val="single" w:color="auto" w:sz="4" w:space="0"/>
              <w:right w:val="single" w:color="auto" w:sz="4" w:space="0"/>
            </w:tcBorders>
            <w:noWrap w:val="0"/>
            <w:vAlign w:val="center"/>
          </w:tcPr>
          <w:p>
            <w:pPr>
              <w:ind w:left="105" w:leftChars="50" w:right="105" w:rightChars="50"/>
              <w:jc w:val="left"/>
              <w:rPr>
                <w:rFonts w:hint="default" w:ascii="Times New Roman" w:hAnsi="Times New Roman" w:cs="Times New Roman"/>
                <w:b/>
                <w:color w:val="000000"/>
                <w:szCs w:val="21"/>
              </w:rPr>
            </w:pPr>
            <w:r>
              <w:rPr>
                <w:rFonts w:hint="default" w:ascii="Times New Roman" w:hAnsi="Times New Roman" w:cs="Times New Roman"/>
                <w:b/>
                <w:color w:val="000000"/>
                <w:szCs w:val="21"/>
              </w:rPr>
              <w:t>其中：农民从业人数（人）</w:t>
            </w:r>
          </w:p>
        </w:tc>
        <w:tc>
          <w:tcPr>
            <w:tcW w:w="1509" w:type="dxa"/>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left"/>
              <w:rPr>
                <w:rFonts w:hint="default" w:ascii="Times New Roman" w:hAnsi="Times New Roman" w:cs="Times New Roman"/>
                <w:b/>
                <w:color w:val="000000"/>
                <w:szCs w:val="21"/>
              </w:rPr>
            </w:pPr>
            <w:r>
              <w:rPr>
                <w:rFonts w:hint="default" w:ascii="Times New Roman" w:hAnsi="Times New Roman" w:cs="Times New Roman"/>
                <w:b/>
                <w:color w:val="000000"/>
                <w:szCs w:val="21"/>
              </w:rPr>
              <w:t>全县（市、区）休闲农业年接待人次（万人次）</w:t>
            </w:r>
          </w:p>
        </w:tc>
        <w:tc>
          <w:tcPr>
            <w:tcW w:w="1502" w:type="dxa"/>
            <w:gridSpan w:val="2"/>
            <w:tcBorders>
              <w:top w:val="single" w:color="auto" w:sz="4" w:space="0"/>
              <w:left w:val="nil"/>
              <w:bottom w:val="single" w:color="auto" w:sz="4" w:space="0"/>
              <w:right w:val="single" w:color="auto" w:sz="4" w:space="0"/>
            </w:tcBorders>
            <w:noWrap w:val="0"/>
            <w:vAlign w:val="center"/>
          </w:tcPr>
          <w:p>
            <w:pPr>
              <w:ind w:left="105" w:leftChars="50" w:right="105" w:rightChars="50"/>
              <w:jc w:val="left"/>
              <w:rPr>
                <w:rFonts w:hint="default" w:ascii="Times New Roman" w:hAnsi="Times New Roman" w:cs="Times New Roman"/>
                <w:color w:val="000000"/>
              </w:rPr>
            </w:pPr>
          </w:p>
        </w:tc>
        <w:tc>
          <w:tcPr>
            <w:tcW w:w="3388" w:type="dxa"/>
            <w:gridSpan w:val="3"/>
            <w:tcBorders>
              <w:top w:val="single" w:color="auto" w:sz="4" w:space="0"/>
              <w:left w:val="nil"/>
              <w:bottom w:val="single" w:color="auto" w:sz="4" w:space="0"/>
              <w:right w:val="single" w:color="auto" w:sz="4" w:space="0"/>
            </w:tcBorders>
            <w:noWrap w:val="0"/>
            <w:vAlign w:val="center"/>
          </w:tcPr>
          <w:p>
            <w:pPr>
              <w:ind w:left="105" w:leftChars="50" w:right="105" w:rightChars="50"/>
              <w:jc w:val="left"/>
              <w:rPr>
                <w:rFonts w:hint="default" w:ascii="Times New Roman" w:hAnsi="Times New Roman" w:cs="Times New Roman"/>
                <w:b/>
                <w:color w:val="000000"/>
                <w:szCs w:val="21"/>
              </w:rPr>
            </w:pPr>
            <w:r>
              <w:rPr>
                <w:rFonts w:hint="default" w:ascii="Times New Roman" w:hAnsi="Times New Roman" w:cs="Times New Roman"/>
                <w:b/>
                <w:color w:val="000000"/>
                <w:szCs w:val="21"/>
              </w:rPr>
              <w:t>全县（市、区）休闲农业接待人次近三年平均增速</w:t>
            </w:r>
            <w:r>
              <w:rPr>
                <w:rFonts w:hint="default" w:ascii="Times New Roman" w:hAnsi="Times New Roman" w:cs="Times New Roman"/>
                <w:color w:val="000000"/>
                <w:sz w:val="18"/>
                <w:szCs w:val="18"/>
              </w:rPr>
              <w:t>*</w:t>
            </w:r>
            <w:r>
              <w:rPr>
                <w:rFonts w:hint="default" w:ascii="Times New Roman" w:hAnsi="Times New Roman" w:cs="Times New Roman"/>
                <w:b/>
                <w:color w:val="000000"/>
                <w:szCs w:val="21"/>
              </w:rPr>
              <w:t>（%）</w:t>
            </w:r>
          </w:p>
        </w:tc>
        <w:tc>
          <w:tcPr>
            <w:tcW w:w="1509" w:type="dxa"/>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left"/>
              <w:rPr>
                <w:rFonts w:hint="default" w:ascii="Times New Roman" w:hAnsi="Times New Roman" w:cs="Times New Roman"/>
                <w:b/>
                <w:color w:val="000000"/>
              </w:rPr>
            </w:pPr>
            <w:r>
              <w:rPr>
                <w:rFonts w:hint="default" w:ascii="Times New Roman" w:hAnsi="Times New Roman" w:cs="Times New Roman"/>
                <w:b/>
                <w:color w:val="000000"/>
                <w:szCs w:val="21"/>
              </w:rPr>
              <w:t>全县（市、区）休闲农业年营</w:t>
            </w:r>
            <w:r>
              <w:rPr>
                <w:rFonts w:hint="default" w:ascii="Times New Roman" w:hAnsi="Times New Roman" w:cs="Times New Roman"/>
                <w:b/>
                <w:color w:val="000000"/>
                <w:szCs w:val="21"/>
                <w:lang w:val="en-US" w:eastAsia="zh-CN"/>
              </w:rPr>
              <w:t>业</w:t>
            </w:r>
            <w:r>
              <w:rPr>
                <w:rFonts w:hint="default" w:ascii="Times New Roman" w:hAnsi="Times New Roman" w:cs="Times New Roman"/>
                <w:b/>
                <w:color w:val="000000"/>
                <w:szCs w:val="21"/>
              </w:rPr>
              <w:t>收入（万元）</w:t>
            </w:r>
          </w:p>
        </w:tc>
        <w:tc>
          <w:tcPr>
            <w:tcW w:w="1502" w:type="dxa"/>
            <w:gridSpan w:val="2"/>
            <w:tcBorders>
              <w:top w:val="single" w:color="auto" w:sz="4" w:space="0"/>
              <w:left w:val="nil"/>
              <w:bottom w:val="single" w:color="auto" w:sz="4" w:space="0"/>
              <w:right w:val="single" w:color="auto" w:sz="4" w:space="0"/>
            </w:tcBorders>
            <w:noWrap w:val="0"/>
            <w:vAlign w:val="center"/>
          </w:tcPr>
          <w:p>
            <w:pPr>
              <w:ind w:left="105" w:leftChars="50" w:right="105" w:rightChars="50"/>
              <w:jc w:val="left"/>
              <w:rPr>
                <w:rFonts w:hint="default" w:ascii="Times New Roman" w:hAnsi="Times New Roman" w:cs="Times New Roman"/>
                <w:b/>
                <w:color w:val="000000"/>
              </w:rPr>
            </w:pPr>
          </w:p>
        </w:tc>
        <w:tc>
          <w:tcPr>
            <w:tcW w:w="3388" w:type="dxa"/>
            <w:gridSpan w:val="3"/>
            <w:tcBorders>
              <w:top w:val="single" w:color="auto" w:sz="4" w:space="0"/>
              <w:left w:val="nil"/>
              <w:bottom w:val="single" w:color="auto" w:sz="4" w:space="0"/>
              <w:right w:val="single" w:color="auto" w:sz="4" w:space="0"/>
            </w:tcBorders>
            <w:noWrap w:val="0"/>
            <w:vAlign w:val="center"/>
          </w:tcPr>
          <w:p>
            <w:pPr>
              <w:ind w:left="105" w:leftChars="50" w:right="105" w:rightChars="50"/>
              <w:jc w:val="left"/>
              <w:rPr>
                <w:rFonts w:hint="default" w:ascii="Times New Roman" w:hAnsi="Times New Roman" w:cs="Times New Roman"/>
                <w:b/>
                <w:color w:val="000000"/>
              </w:rPr>
            </w:pPr>
            <w:r>
              <w:rPr>
                <w:rFonts w:hint="default" w:ascii="Times New Roman" w:hAnsi="Times New Roman" w:cs="Times New Roman"/>
                <w:b/>
                <w:color w:val="000000"/>
                <w:szCs w:val="21"/>
              </w:rPr>
              <w:t>全县（市、区）休闲农业营</w:t>
            </w:r>
            <w:r>
              <w:rPr>
                <w:rFonts w:hint="default" w:ascii="Times New Roman" w:hAnsi="Times New Roman" w:cs="Times New Roman"/>
                <w:b/>
                <w:color w:val="000000"/>
                <w:szCs w:val="21"/>
                <w:lang w:val="en-US" w:eastAsia="zh-CN"/>
              </w:rPr>
              <w:t>业</w:t>
            </w:r>
            <w:r>
              <w:rPr>
                <w:rFonts w:hint="default" w:ascii="Times New Roman" w:hAnsi="Times New Roman" w:cs="Times New Roman"/>
                <w:b/>
                <w:color w:val="000000"/>
                <w:szCs w:val="21"/>
              </w:rPr>
              <w:t>收入近三年平均增速</w:t>
            </w:r>
            <w:r>
              <w:rPr>
                <w:rFonts w:hint="default" w:ascii="Times New Roman" w:hAnsi="Times New Roman" w:cs="Times New Roman"/>
                <w:color w:val="000000"/>
                <w:sz w:val="18"/>
                <w:szCs w:val="18"/>
              </w:rPr>
              <w:t>*</w:t>
            </w:r>
            <w:r>
              <w:rPr>
                <w:rFonts w:hint="default" w:ascii="Times New Roman" w:hAnsi="Times New Roman" w:cs="Times New Roman"/>
                <w:b/>
                <w:color w:val="000000"/>
                <w:szCs w:val="21"/>
              </w:rPr>
              <w:t>（%）</w:t>
            </w:r>
          </w:p>
        </w:tc>
        <w:tc>
          <w:tcPr>
            <w:tcW w:w="1509" w:type="dxa"/>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left"/>
              <w:rPr>
                <w:rFonts w:hint="default" w:ascii="Times New Roman" w:hAnsi="Times New Roman" w:cs="Times New Roman"/>
                <w:b/>
                <w:color w:val="000000"/>
                <w:szCs w:val="21"/>
              </w:rPr>
            </w:pPr>
            <w:r>
              <w:rPr>
                <w:rFonts w:hint="default" w:ascii="Times New Roman" w:hAnsi="Times New Roman" w:cs="Times New Roman"/>
                <w:b/>
                <w:color w:val="000000"/>
                <w:szCs w:val="21"/>
              </w:rPr>
              <w:t>全县（市、区）休闲农业从业人员人均收入（元）</w:t>
            </w:r>
          </w:p>
        </w:tc>
        <w:tc>
          <w:tcPr>
            <w:tcW w:w="1502" w:type="dxa"/>
            <w:gridSpan w:val="2"/>
            <w:tcBorders>
              <w:top w:val="single" w:color="auto" w:sz="4" w:space="0"/>
              <w:left w:val="nil"/>
              <w:bottom w:val="single" w:color="auto" w:sz="4" w:space="0"/>
              <w:right w:val="single" w:color="auto" w:sz="4" w:space="0"/>
            </w:tcBorders>
            <w:noWrap w:val="0"/>
            <w:vAlign w:val="center"/>
          </w:tcPr>
          <w:p>
            <w:pPr>
              <w:ind w:left="105" w:leftChars="50" w:right="105" w:rightChars="50"/>
              <w:jc w:val="left"/>
              <w:rPr>
                <w:rFonts w:hint="default" w:ascii="Times New Roman" w:hAnsi="Times New Roman" w:cs="Times New Roman"/>
                <w:b/>
                <w:color w:val="000000"/>
              </w:rPr>
            </w:pPr>
          </w:p>
        </w:tc>
        <w:tc>
          <w:tcPr>
            <w:tcW w:w="3388" w:type="dxa"/>
            <w:gridSpan w:val="3"/>
            <w:tcBorders>
              <w:top w:val="single" w:color="auto" w:sz="4" w:space="0"/>
              <w:left w:val="nil"/>
              <w:bottom w:val="single" w:color="auto" w:sz="4" w:space="0"/>
              <w:right w:val="single" w:color="auto" w:sz="4" w:space="0"/>
            </w:tcBorders>
            <w:noWrap w:val="0"/>
            <w:vAlign w:val="center"/>
          </w:tcPr>
          <w:p>
            <w:pPr>
              <w:ind w:left="105" w:leftChars="50" w:right="105" w:rightChars="50"/>
              <w:jc w:val="left"/>
              <w:rPr>
                <w:rFonts w:hint="default" w:ascii="Times New Roman" w:hAnsi="Times New Roman" w:cs="Times New Roman"/>
                <w:b/>
                <w:color w:val="000000"/>
                <w:szCs w:val="21"/>
              </w:rPr>
            </w:pPr>
            <w:r>
              <w:rPr>
                <w:rFonts w:hint="default" w:ascii="Times New Roman" w:hAnsi="Times New Roman" w:cs="Times New Roman"/>
                <w:b/>
                <w:color w:val="000000"/>
                <w:szCs w:val="21"/>
              </w:rPr>
              <w:t>全县（市、区）近三年休闲农业带动本地农产品销售额</w:t>
            </w:r>
            <w:r>
              <w:rPr>
                <w:rFonts w:hint="default" w:ascii="Times New Roman" w:hAnsi="Times New Roman" w:cs="Times New Roman"/>
                <w:color w:val="000000"/>
                <w:sz w:val="18"/>
                <w:szCs w:val="18"/>
              </w:rPr>
              <w:t>*</w:t>
            </w:r>
            <w:r>
              <w:rPr>
                <w:rFonts w:hint="default" w:ascii="Times New Roman" w:hAnsi="Times New Roman" w:cs="Times New Roman"/>
                <w:b/>
                <w:color w:val="000000"/>
                <w:szCs w:val="21"/>
              </w:rPr>
              <w:t>（万元）</w:t>
            </w:r>
          </w:p>
        </w:tc>
        <w:tc>
          <w:tcPr>
            <w:tcW w:w="1509" w:type="dxa"/>
            <w:tcBorders>
              <w:top w:val="single" w:color="auto" w:sz="4" w:space="0"/>
              <w:left w:val="nil"/>
              <w:bottom w:val="single" w:color="auto" w:sz="4" w:space="0"/>
              <w:right w:val="single" w:color="auto" w:sz="4" w:space="0"/>
            </w:tcBorders>
            <w:noWrap w:val="0"/>
            <w:vAlign w:val="top"/>
          </w:tcPr>
          <w:p>
            <w:pPr>
              <w:ind w:left="105" w:leftChars="50" w:right="105" w:rightChars="50"/>
              <w:jc w:val="cente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rPr>
            </w:pPr>
            <w:r>
              <w:rPr>
                <w:rFonts w:hint="default" w:ascii="Times New Roman" w:hAnsi="Times New Roman" w:cs="Times New Roman"/>
                <w:b/>
                <w:color w:val="000000"/>
                <w:szCs w:val="21"/>
              </w:rPr>
              <w:t>全县（市、区）农产品加工业产值（万元）</w:t>
            </w:r>
          </w:p>
        </w:tc>
        <w:tc>
          <w:tcPr>
            <w:tcW w:w="1502" w:type="dxa"/>
            <w:gridSpan w:val="2"/>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b/>
                <w:color w:val="000000"/>
              </w:rPr>
            </w:pPr>
          </w:p>
        </w:tc>
        <w:tc>
          <w:tcPr>
            <w:tcW w:w="3388" w:type="dxa"/>
            <w:gridSpan w:val="3"/>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szCs w:val="21"/>
              </w:rPr>
            </w:pPr>
            <w:r>
              <w:rPr>
                <w:rFonts w:hint="default" w:ascii="Times New Roman" w:hAnsi="Times New Roman" w:cs="Times New Roman"/>
                <w:b/>
                <w:color w:val="000000"/>
                <w:szCs w:val="21"/>
              </w:rPr>
              <w:t>全县（市、区）农业总产值</w:t>
            </w:r>
          </w:p>
          <w:p>
            <w:pPr>
              <w:ind w:left="105" w:leftChars="50" w:right="105" w:rightChars="50"/>
              <w:rPr>
                <w:rFonts w:hint="default" w:ascii="Times New Roman" w:hAnsi="Times New Roman" w:cs="Times New Roman"/>
                <w:b/>
                <w:color w:val="000000"/>
              </w:rPr>
            </w:pPr>
            <w:r>
              <w:rPr>
                <w:rFonts w:hint="default" w:ascii="Times New Roman" w:hAnsi="Times New Roman" w:cs="Times New Roman"/>
                <w:b/>
                <w:color w:val="000000"/>
                <w:szCs w:val="21"/>
              </w:rPr>
              <w:t>（万元）</w:t>
            </w:r>
          </w:p>
        </w:tc>
        <w:tc>
          <w:tcPr>
            <w:tcW w:w="1509" w:type="dxa"/>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szCs w:val="21"/>
              </w:rPr>
            </w:pPr>
            <w:r>
              <w:rPr>
                <w:rFonts w:hint="default" w:ascii="Times New Roman" w:hAnsi="Times New Roman" w:cs="Times New Roman"/>
                <w:b/>
                <w:color w:val="000000"/>
                <w:szCs w:val="21"/>
              </w:rPr>
              <w:t>全县（市、区）农林牧渔业增加值（万元）</w:t>
            </w:r>
          </w:p>
        </w:tc>
        <w:tc>
          <w:tcPr>
            <w:tcW w:w="1502" w:type="dxa"/>
            <w:gridSpan w:val="2"/>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b/>
                <w:color w:val="000000"/>
              </w:rPr>
            </w:pPr>
          </w:p>
        </w:tc>
        <w:tc>
          <w:tcPr>
            <w:tcW w:w="3388" w:type="dxa"/>
            <w:gridSpan w:val="3"/>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szCs w:val="21"/>
              </w:rPr>
            </w:pPr>
            <w:r>
              <w:rPr>
                <w:rFonts w:hint="default" w:ascii="Times New Roman" w:hAnsi="Times New Roman" w:cs="Times New Roman"/>
                <w:b/>
                <w:color w:val="000000"/>
                <w:szCs w:val="21"/>
              </w:rPr>
              <w:t>全县（市、区）第一产业增加值（万元）</w:t>
            </w:r>
          </w:p>
        </w:tc>
        <w:tc>
          <w:tcPr>
            <w:tcW w:w="1509" w:type="dxa"/>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szCs w:val="21"/>
              </w:rPr>
            </w:pPr>
            <w:r>
              <w:rPr>
                <w:rFonts w:hint="default" w:ascii="Times New Roman" w:hAnsi="Times New Roman" w:cs="Times New Roman"/>
                <w:b/>
                <w:color w:val="000000"/>
                <w:szCs w:val="21"/>
              </w:rPr>
              <w:t>全县（市、区）休闲农业聚集村规划覆盖率</w:t>
            </w:r>
            <w:r>
              <w:rPr>
                <w:rFonts w:hint="default" w:ascii="Times New Roman" w:hAnsi="Times New Roman" w:cs="Times New Roman"/>
                <w:b/>
                <w:szCs w:val="21"/>
              </w:rPr>
              <w:t>（%）</w:t>
            </w:r>
          </w:p>
        </w:tc>
        <w:tc>
          <w:tcPr>
            <w:tcW w:w="1502" w:type="dxa"/>
            <w:gridSpan w:val="2"/>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rPr>
            </w:pPr>
          </w:p>
        </w:tc>
        <w:tc>
          <w:tcPr>
            <w:tcW w:w="3388" w:type="dxa"/>
            <w:gridSpan w:val="3"/>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000000"/>
                <w:szCs w:val="21"/>
              </w:rPr>
            </w:pPr>
            <w:r>
              <w:rPr>
                <w:rFonts w:hint="default" w:ascii="Times New Roman" w:hAnsi="Times New Roman" w:cs="Times New Roman"/>
                <w:b/>
                <w:color w:val="000000"/>
                <w:szCs w:val="21"/>
              </w:rPr>
              <w:t>全县（市、区）休闲农业培训覆盖率</w:t>
            </w:r>
            <w:r>
              <w:rPr>
                <w:rFonts w:hint="default" w:ascii="Times New Roman" w:hAnsi="Times New Roman" w:cs="Times New Roman"/>
                <w:b/>
                <w:szCs w:val="21"/>
              </w:rPr>
              <w:t>（%）</w:t>
            </w:r>
          </w:p>
        </w:tc>
        <w:tc>
          <w:tcPr>
            <w:tcW w:w="1509" w:type="dxa"/>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auto"/>
                <w:szCs w:val="21"/>
              </w:rPr>
            </w:pPr>
            <w:r>
              <w:rPr>
                <w:rFonts w:hint="default" w:ascii="Times New Roman" w:hAnsi="Times New Roman" w:cs="Times New Roman"/>
                <w:b/>
                <w:color w:val="auto"/>
                <w:szCs w:val="21"/>
              </w:rPr>
              <w:t>全县（市、区）休闲农业贷款余额（万元）</w:t>
            </w:r>
          </w:p>
        </w:tc>
        <w:tc>
          <w:tcPr>
            <w:tcW w:w="1502" w:type="dxa"/>
            <w:gridSpan w:val="2"/>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auto"/>
              </w:rPr>
            </w:pPr>
          </w:p>
        </w:tc>
        <w:tc>
          <w:tcPr>
            <w:tcW w:w="3388" w:type="dxa"/>
            <w:gridSpan w:val="3"/>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auto"/>
                <w:szCs w:val="21"/>
              </w:rPr>
            </w:pPr>
            <w:r>
              <w:rPr>
                <w:rFonts w:hint="default" w:ascii="Times New Roman" w:hAnsi="Times New Roman" w:cs="Times New Roman"/>
                <w:b/>
                <w:color w:val="auto"/>
                <w:szCs w:val="21"/>
              </w:rPr>
              <w:t>全县（市、区）新编县域国土空间规划用于休闲农业的建设用地指标</w:t>
            </w:r>
            <w:r>
              <w:rPr>
                <w:rFonts w:hint="default" w:ascii="Times New Roman" w:hAnsi="Times New Roman" w:cs="Times New Roman"/>
                <w:b/>
                <w:color w:val="auto"/>
                <w:szCs w:val="21"/>
                <w:lang w:eastAsia="zh-CN"/>
              </w:rPr>
              <w:t>比例</w:t>
            </w:r>
            <w:r>
              <w:rPr>
                <w:rFonts w:hint="default" w:ascii="Times New Roman" w:hAnsi="Times New Roman" w:cs="Times New Roman"/>
                <w:b/>
                <w:color w:val="auto"/>
                <w:szCs w:val="21"/>
              </w:rPr>
              <w:t>（%）</w:t>
            </w:r>
          </w:p>
        </w:tc>
        <w:tc>
          <w:tcPr>
            <w:tcW w:w="1509" w:type="dxa"/>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b/>
                <w:color w:val="auto"/>
                <w:lang w:val="en-US" w:eastAsia="zh-CN"/>
              </w:rPr>
            </w:pPr>
          </w:p>
          <w:p>
            <w:pPr>
              <w:ind w:left="105" w:leftChars="50" w:right="105" w:rightChars="50"/>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auto"/>
                <w:szCs w:val="21"/>
              </w:rPr>
            </w:pPr>
            <w:r>
              <w:rPr>
                <w:rFonts w:hint="default" w:ascii="Times New Roman" w:hAnsi="Times New Roman" w:cs="Times New Roman"/>
                <w:b/>
                <w:color w:val="auto"/>
                <w:szCs w:val="21"/>
                <w:lang w:val="en-US" w:eastAsia="zh-CN"/>
              </w:rPr>
              <w:t>全县农业主导产业</w:t>
            </w:r>
          </w:p>
        </w:tc>
        <w:tc>
          <w:tcPr>
            <w:tcW w:w="1502" w:type="dxa"/>
            <w:gridSpan w:val="2"/>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auto"/>
                <w:lang w:val="en-US" w:eastAsia="zh-CN"/>
              </w:rPr>
            </w:pPr>
          </w:p>
        </w:tc>
        <w:tc>
          <w:tcPr>
            <w:tcW w:w="3388" w:type="dxa"/>
            <w:gridSpan w:val="3"/>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auto"/>
                <w:szCs w:val="21"/>
              </w:rPr>
            </w:pPr>
            <w:r>
              <w:rPr>
                <w:rFonts w:hint="default" w:ascii="Times New Roman" w:hAnsi="Times New Roman" w:cs="Times New Roman"/>
                <w:b/>
                <w:color w:val="auto"/>
                <w:szCs w:val="21"/>
                <w:lang w:val="en-US" w:eastAsia="zh-CN"/>
              </w:rPr>
              <w:t>农业主导产业产值（万元）</w:t>
            </w:r>
          </w:p>
        </w:tc>
        <w:tc>
          <w:tcPr>
            <w:tcW w:w="1509" w:type="dxa"/>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b/>
                <w:color w:val="auto"/>
                <w:lang w:val="en-US" w:eastAsia="zh-CN"/>
              </w:rPr>
            </w:pPr>
          </w:p>
          <w:p>
            <w:pPr>
              <w:ind w:left="105" w:leftChars="50" w:right="105" w:rightChars="50"/>
              <w:rPr>
                <w:rFonts w:hint="default" w:ascii="Times New Roman" w:hAnsi="Times New Roman" w:cs="Times New Roman"/>
                <w:b/>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auto"/>
                <w:szCs w:val="21"/>
              </w:rPr>
            </w:pPr>
            <w:r>
              <w:rPr>
                <w:rFonts w:hint="default" w:ascii="Times New Roman" w:hAnsi="Times New Roman" w:cs="Times New Roman"/>
                <w:b/>
                <w:color w:val="auto"/>
                <w:szCs w:val="21"/>
                <w:highlight w:val="none"/>
              </w:rPr>
              <w:t>农业主导产业全产业链产值（万元）</w:t>
            </w:r>
          </w:p>
        </w:tc>
        <w:tc>
          <w:tcPr>
            <w:tcW w:w="1502" w:type="dxa"/>
            <w:gridSpan w:val="2"/>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auto"/>
                <w:lang w:val="en-US" w:eastAsia="zh-CN"/>
              </w:rPr>
            </w:pPr>
          </w:p>
        </w:tc>
        <w:tc>
          <w:tcPr>
            <w:tcW w:w="3388" w:type="dxa"/>
            <w:gridSpan w:val="3"/>
            <w:tcBorders>
              <w:top w:val="single" w:color="auto" w:sz="4" w:space="0"/>
              <w:left w:val="nil"/>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auto"/>
                <w:szCs w:val="21"/>
              </w:rPr>
            </w:pPr>
            <w:r>
              <w:rPr>
                <w:rFonts w:hint="default" w:ascii="Times New Roman" w:hAnsi="Times New Roman" w:cs="Times New Roman"/>
                <w:b/>
                <w:color w:val="auto"/>
                <w:szCs w:val="21"/>
              </w:rPr>
              <w:t>休闲农业对农业主导产业</w:t>
            </w:r>
            <w:r>
              <w:rPr>
                <w:rFonts w:hint="default" w:ascii="Times New Roman" w:hAnsi="Times New Roman" w:cs="Times New Roman"/>
                <w:b/>
                <w:color w:val="auto"/>
                <w:szCs w:val="21"/>
                <w:lang w:val="en-US" w:eastAsia="zh-CN"/>
              </w:rPr>
              <w:t>全产业链</w:t>
            </w:r>
            <w:r>
              <w:rPr>
                <w:rFonts w:hint="default" w:ascii="Times New Roman" w:hAnsi="Times New Roman" w:cs="Times New Roman"/>
                <w:b/>
                <w:color w:val="auto"/>
                <w:szCs w:val="21"/>
              </w:rPr>
              <w:t>产值贡献率（%）</w:t>
            </w:r>
          </w:p>
        </w:tc>
        <w:tc>
          <w:tcPr>
            <w:tcW w:w="1509" w:type="dxa"/>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b/>
                <w:color w:val="auto"/>
                <w:lang w:val="en-US" w:eastAsia="zh-CN"/>
              </w:rPr>
            </w:pPr>
          </w:p>
          <w:p>
            <w:pPr>
              <w:ind w:left="105" w:leftChars="50" w:right="105" w:rightChars="50"/>
              <w:rPr>
                <w:rFonts w:hint="default" w:ascii="Times New Roman" w:hAnsi="Times New Roman" w:cs="Times New Roman"/>
                <w:b/>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default" w:ascii="Times New Roman" w:hAnsi="Times New Roman" w:cs="Times New Roman"/>
                <w:b/>
                <w:color w:val="auto"/>
                <w:szCs w:val="21"/>
                <w:highlight w:val="none"/>
              </w:rPr>
            </w:pPr>
            <w:r>
              <w:rPr>
                <w:rFonts w:hint="default" w:ascii="Times New Roman" w:hAnsi="Times New Roman" w:cs="Times New Roman"/>
                <w:b/>
                <w:color w:val="auto"/>
              </w:rPr>
              <w:t>本县是否属于以下享受中央财政奖励政策的农业产业大县（</w:t>
            </w:r>
            <w:r>
              <w:rPr>
                <w:rFonts w:hint="eastAsia" w:ascii="Times New Roman" w:hAnsi="Times New Roman" w:cs="Times New Roman"/>
                <w:b/>
                <w:color w:val="auto"/>
                <w:lang w:eastAsia="zh-CN"/>
              </w:rPr>
              <w:t>如</w:t>
            </w:r>
            <w:r>
              <w:rPr>
                <w:rFonts w:hint="default" w:ascii="Times New Roman" w:hAnsi="Times New Roman" w:cs="Times New Roman"/>
                <w:b/>
                <w:color w:val="auto"/>
              </w:rPr>
              <w:t>是</w:t>
            </w:r>
            <w:r>
              <w:rPr>
                <w:rFonts w:hint="eastAsia" w:ascii="Times New Roman" w:hAnsi="Times New Roman" w:cs="Times New Roman"/>
                <w:b/>
                <w:color w:val="auto"/>
                <w:lang w:eastAsia="zh-CN"/>
              </w:rPr>
              <w:t>，</w:t>
            </w:r>
            <w:r>
              <w:rPr>
                <w:rFonts w:hint="default" w:ascii="Times New Roman" w:hAnsi="Times New Roman" w:cs="Times New Roman"/>
                <w:b/>
                <w:color w:val="auto"/>
              </w:rPr>
              <w:t>请</w:t>
            </w:r>
            <w:r>
              <w:rPr>
                <w:rFonts w:hint="eastAsia" w:ascii="Times New Roman" w:hAnsi="Times New Roman" w:cs="Times New Roman"/>
                <w:b/>
                <w:color w:val="auto"/>
                <w:lang w:eastAsia="zh-CN"/>
              </w:rPr>
              <w:t>打勾</w:t>
            </w:r>
            <w:r>
              <w:rPr>
                <w:rFonts w:hint="default" w:ascii="Times New Roman" w:hAnsi="Times New Roman" w:cs="Times New Roman"/>
                <w:b/>
                <w:color w:val="auto"/>
              </w:rPr>
              <w:t>）</w:t>
            </w:r>
          </w:p>
        </w:tc>
        <w:tc>
          <w:tcPr>
            <w:tcW w:w="6399" w:type="dxa"/>
            <w:gridSpan w:val="6"/>
            <w:tcBorders>
              <w:top w:val="single" w:color="auto" w:sz="4" w:space="0"/>
              <w:left w:val="nil"/>
              <w:bottom w:val="single" w:color="auto" w:sz="4" w:space="0"/>
              <w:right w:val="single" w:color="auto" w:sz="4" w:space="0"/>
            </w:tcBorders>
            <w:noWrap w:val="0"/>
            <w:vAlign w:val="center"/>
          </w:tcPr>
          <w:p>
            <w:pPr>
              <w:pStyle w:val="2"/>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产粮（油）大县</w:t>
            </w:r>
            <w:r>
              <w:rPr>
                <w:rFonts w:hint="default" w:ascii="Times New Roman" w:hAnsi="Times New Roman" w:cs="Times New Roman"/>
                <w:color w:val="auto"/>
                <w:sz w:val="21"/>
                <w:szCs w:val="21"/>
              </w:rPr>
              <w:sym w:font="Wingdings 2" w:char="00A3"/>
            </w:r>
            <w:r>
              <w:rPr>
                <w:rFonts w:hint="default" w:ascii="Times New Roman" w:hAnsi="Times New Roman" w:cs="Times New Roman"/>
                <w:color w:val="auto"/>
                <w:sz w:val="21"/>
                <w:szCs w:val="21"/>
              </w:rPr>
              <w:t xml:space="preserve">    </w:t>
            </w:r>
          </w:p>
          <w:p>
            <w:pPr>
              <w:pStyle w:val="2"/>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生猪（牛羊）调出大县</w:t>
            </w:r>
            <w:r>
              <w:rPr>
                <w:rFonts w:hint="default" w:ascii="Times New Roman" w:hAnsi="Times New Roman" w:cs="Times New Roman"/>
                <w:color w:val="auto"/>
                <w:sz w:val="21"/>
                <w:szCs w:val="21"/>
              </w:rPr>
              <w:sym w:font="Wingdings 2" w:char="00A3"/>
            </w:r>
            <w:r>
              <w:rPr>
                <w:rFonts w:hint="default" w:ascii="Times New Roman" w:hAnsi="Times New Roman" w:cs="Times New Roman"/>
                <w:color w:val="auto"/>
                <w:sz w:val="21"/>
                <w:szCs w:val="21"/>
              </w:rPr>
              <w:t xml:space="preserve">   </w:t>
            </w:r>
            <w:r>
              <w:rPr>
                <w:rFonts w:hint="default" w:ascii="Times New Roman" w:hAnsi="Times New Roman" w:cs="Times New Roman"/>
                <w:color w:val="auto"/>
                <w:sz w:val="21"/>
                <w:szCs w:val="21"/>
                <w:lang w:val="en-US" w:eastAsia="zh-CN"/>
              </w:rPr>
              <w:t xml:space="preserve">  </w:t>
            </w:r>
          </w:p>
          <w:p>
            <w:pPr>
              <w:ind w:left="0" w:leftChars="0" w:right="105" w:rightChars="50"/>
              <w:rPr>
                <w:rFonts w:hint="default" w:ascii="Times New Roman" w:hAnsi="Times New Roman" w:cs="Times New Roman"/>
                <w:b/>
                <w:color w:val="auto"/>
                <w:lang w:val="en-US" w:eastAsia="zh-CN"/>
              </w:rPr>
            </w:pPr>
            <w:r>
              <w:rPr>
                <w:rFonts w:hint="default" w:ascii="Times New Roman" w:hAnsi="Times New Roman" w:cs="Times New Roman"/>
                <w:color w:val="auto"/>
                <w:sz w:val="21"/>
                <w:szCs w:val="21"/>
              </w:rPr>
              <w:t>奶业大县</w:t>
            </w:r>
            <w:r>
              <w:rPr>
                <w:rFonts w:hint="default" w:ascii="Times New Roman" w:hAnsi="Times New Roman" w:cs="Times New Roman"/>
                <w:color w:val="auto"/>
                <w:sz w:val="21"/>
                <w:szCs w:val="21"/>
              </w:rPr>
              <w:sym w:font="Wingdings 2" w:char="00A3"/>
            </w:r>
            <w:r>
              <w:rPr>
                <w:rFonts w:hint="default" w:ascii="Times New Roman" w:hAnsi="Times New Roman" w:cs="Times New Roman"/>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4" w:hRule="atLeast"/>
          <w:jc w:val="center"/>
        </w:trPr>
        <w:tc>
          <w:tcPr>
            <w:tcW w:w="9098" w:type="dxa"/>
            <w:gridSpan w:val="8"/>
            <w:tcBorders>
              <w:top w:val="single" w:color="auto" w:sz="4" w:space="0"/>
              <w:left w:val="single" w:color="auto" w:sz="4" w:space="0"/>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b/>
                <w:color w:val="000000"/>
              </w:rPr>
            </w:pPr>
            <w:r>
              <w:rPr>
                <w:rFonts w:hint="default" w:ascii="Times New Roman" w:hAnsi="Times New Roman" w:cs="Times New Roman"/>
                <w:b/>
                <w:color w:val="000000"/>
                <w:szCs w:val="21"/>
              </w:rPr>
              <w:t>休闲农业重点县建设情况总结（可以从获批休闲农业重点县后，在基础提升、功能拓展、产业发展、示范带动、机制创新</w:t>
            </w:r>
            <w:r>
              <w:rPr>
                <w:rFonts w:hint="default" w:ascii="Times New Roman" w:hAnsi="Times New Roman" w:cs="Times New Roman"/>
                <w:b/>
                <w:color w:val="000000"/>
                <w:szCs w:val="21"/>
                <w:lang w:eastAsia="zh-CN"/>
              </w:rPr>
              <w:t>、</w:t>
            </w:r>
            <w:r>
              <w:rPr>
                <w:rFonts w:hint="default" w:ascii="Times New Roman" w:hAnsi="Times New Roman" w:cs="Times New Roman"/>
                <w:b/>
                <w:color w:val="000000"/>
                <w:szCs w:val="21"/>
                <w:lang w:val="en-US" w:eastAsia="zh-CN"/>
              </w:rPr>
              <w:t>政策创设</w:t>
            </w:r>
            <w:r>
              <w:rPr>
                <w:rFonts w:hint="default" w:ascii="Times New Roman" w:hAnsi="Times New Roman" w:cs="Times New Roman"/>
                <w:b/>
                <w:color w:val="000000"/>
                <w:szCs w:val="21"/>
              </w:rPr>
              <w:t>等方面开展的工作及取得的成效）（5000字以内，可附页</w:t>
            </w:r>
            <w:r>
              <w:rPr>
                <w:rFonts w:hint="eastAsia" w:ascii="Times New Roman" w:hAnsi="Times New Roman" w:cs="Times New Roman"/>
                <w:b/>
                <w:bCs/>
                <w:lang w:eastAsia="zh-CN"/>
              </w:rPr>
              <w:t>，出台相关政策性文件以附件形式一并提供</w:t>
            </w:r>
            <w:r>
              <w:rPr>
                <w:rFonts w:hint="default" w:ascii="Times New Roman" w:hAnsi="Times New Roman" w:cs="Times New Roman"/>
                <w:b/>
                <w:color w:val="000000"/>
                <w:szCs w:val="21"/>
              </w:rPr>
              <w:t>）</w:t>
            </w:r>
          </w:p>
          <w:p>
            <w:pPr>
              <w:ind w:left="105" w:leftChars="50" w:right="105" w:rightChars="50"/>
              <w:rPr>
                <w:rFonts w:hint="default" w:ascii="Times New Roman" w:hAnsi="Times New Roman" w:cs="Times New Roman"/>
                <w:b/>
                <w:color w:val="000000"/>
              </w:rPr>
            </w:pPr>
          </w:p>
          <w:p>
            <w:pPr>
              <w:ind w:left="105" w:leftChars="50" w:right="105" w:rightChars="50"/>
              <w:rPr>
                <w:rFonts w:hint="default" w:ascii="Times New Roman" w:hAnsi="Times New Roman" w:cs="Times New Roman"/>
                <w:b/>
                <w:color w:val="000000"/>
              </w:rPr>
            </w:pPr>
          </w:p>
          <w:p>
            <w:pPr>
              <w:ind w:left="105" w:leftChars="50" w:right="105" w:rightChars="50"/>
              <w:rPr>
                <w:rFonts w:hint="default" w:ascii="Times New Roman" w:hAnsi="Times New Roman" w:cs="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158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ascii="Times New Roman" w:hAnsi="Times New Roman" w:cs="Times New Roman"/>
                <w:b/>
                <w:color w:val="000000"/>
              </w:rPr>
            </w:pPr>
            <w:r>
              <w:rPr>
                <w:rFonts w:hint="default" w:ascii="Times New Roman" w:hAnsi="Times New Roman" w:cs="Times New Roman"/>
                <w:b/>
                <w:color w:val="000000"/>
                <w:szCs w:val="21"/>
              </w:rPr>
              <w:t>县级</w:t>
            </w:r>
          </w:p>
          <w:p>
            <w:pPr>
              <w:ind w:left="105" w:leftChars="50" w:right="105" w:rightChars="50"/>
              <w:jc w:val="center"/>
              <w:rPr>
                <w:rFonts w:hint="default" w:ascii="Times New Roman" w:hAnsi="Times New Roman" w:cs="Times New Roman"/>
                <w:b/>
                <w:color w:val="000000"/>
              </w:rPr>
            </w:pPr>
            <w:r>
              <w:rPr>
                <w:rFonts w:hint="default" w:ascii="Times New Roman" w:hAnsi="Times New Roman" w:cs="Times New Roman"/>
                <w:b/>
                <w:color w:val="000000"/>
                <w:szCs w:val="21"/>
              </w:rPr>
              <w:t>人民</w:t>
            </w:r>
          </w:p>
          <w:p>
            <w:pPr>
              <w:ind w:left="105" w:leftChars="50" w:right="105" w:rightChars="50"/>
              <w:jc w:val="center"/>
              <w:rPr>
                <w:rFonts w:hint="default" w:ascii="Times New Roman" w:hAnsi="Times New Roman" w:cs="Times New Roman"/>
                <w:b/>
                <w:color w:val="000000"/>
              </w:rPr>
            </w:pPr>
            <w:r>
              <w:rPr>
                <w:rFonts w:hint="default" w:ascii="Times New Roman" w:hAnsi="Times New Roman" w:cs="Times New Roman"/>
                <w:b/>
                <w:color w:val="000000"/>
                <w:szCs w:val="21"/>
              </w:rPr>
              <w:t>政府</w:t>
            </w:r>
          </w:p>
          <w:p>
            <w:pPr>
              <w:ind w:left="105" w:leftChars="50" w:right="105" w:rightChars="50"/>
              <w:jc w:val="center"/>
              <w:rPr>
                <w:rFonts w:hint="default" w:ascii="Times New Roman" w:hAnsi="Times New Roman" w:cs="Times New Roman"/>
                <w:b/>
                <w:color w:val="000000"/>
              </w:rPr>
            </w:pPr>
            <w:r>
              <w:rPr>
                <w:rFonts w:hint="default" w:ascii="Times New Roman" w:hAnsi="Times New Roman" w:cs="Times New Roman"/>
                <w:b/>
                <w:color w:val="000000"/>
                <w:szCs w:val="21"/>
              </w:rPr>
              <w:t>意见</w:t>
            </w:r>
          </w:p>
          <w:p>
            <w:pPr>
              <w:ind w:left="105" w:leftChars="50" w:right="105" w:rightChars="50"/>
              <w:jc w:val="center"/>
              <w:rPr>
                <w:rFonts w:hint="default" w:ascii="Times New Roman" w:hAnsi="Times New Roman" w:cs="Times New Roman"/>
                <w:b/>
                <w:color w:val="000000"/>
              </w:rPr>
            </w:pPr>
          </w:p>
        </w:tc>
        <w:tc>
          <w:tcPr>
            <w:tcW w:w="7515" w:type="dxa"/>
            <w:gridSpan w:val="7"/>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b/>
                <w:color w:val="000000"/>
              </w:rPr>
            </w:pPr>
          </w:p>
          <w:p>
            <w:pPr>
              <w:pStyle w:val="2"/>
              <w:rPr>
                <w:rFonts w:hint="default" w:ascii="Times New Roman" w:hAnsi="Times New Roman" w:cs="Times New Roman"/>
                <w:b/>
                <w:color w:val="000000"/>
              </w:rPr>
            </w:pPr>
          </w:p>
          <w:p>
            <w:pPr>
              <w:pStyle w:val="2"/>
              <w:rPr>
                <w:rFonts w:hint="default" w:ascii="Times New Roman" w:hAnsi="Times New Roman" w:cs="Times New Roman"/>
                <w:b/>
                <w:color w:val="000000"/>
              </w:rPr>
            </w:pPr>
          </w:p>
          <w:p>
            <w:pPr>
              <w:ind w:left="105" w:leftChars="50" w:right="105" w:rightChars="50"/>
              <w:rPr>
                <w:rFonts w:hint="default" w:ascii="Times New Roman" w:hAnsi="Times New Roman" w:cs="Times New Roman"/>
                <w:b/>
                <w:color w:val="000000"/>
              </w:rPr>
            </w:pPr>
          </w:p>
          <w:p>
            <w:pPr>
              <w:ind w:left="105" w:leftChars="50" w:right="105" w:rightChars="50" w:firstLine="3373" w:firstLineChars="1600"/>
              <w:rPr>
                <w:rFonts w:hint="default" w:ascii="Times New Roman" w:hAnsi="Times New Roman" w:cs="Times New Roman"/>
                <w:b/>
                <w:color w:val="000000"/>
              </w:rPr>
            </w:pPr>
            <w:r>
              <w:rPr>
                <w:rFonts w:hint="default" w:ascii="Times New Roman" w:hAnsi="Times New Roman" w:cs="Times New Roman"/>
                <w:b/>
                <w:color w:val="000000"/>
                <w:szCs w:val="21"/>
              </w:rPr>
              <w:t xml:space="preserve">县级人民政府（盖章）  </w:t>
            </w:r>
          </w:p>
          <w:p>
            <w:pPr>
              <w:ind w:left="105" w:leftChars="50" w:right="105" w:rightChars="50"/>
              <w:rPr>
                <w:rFonts w:hint="default" w:ascii="Times New Roman" w:hAnsi="Times New Roman" w:cs="Times New Roman"/>
                <w:b/>
                <w:color w:val="000000"/>
              </w:rPr>
            </w:pPr>
            <w:r>
              <w:rPr>
                <w:rFonts w:hint="default" w:ascii="Times New Roman" w:hAnsi="Times New Roman" w:cs="Times New Roman"/>
                <w:b/>
                <w:color w:val="000000"/>
                <w:szCs w:val="21"/>
              </w:rPr>
              <w:t xml:space="preserve">                     </w:t>
            </w:r>
          </w:p>
          <w:p>
            <w:pPr>
              <w:ind w:left="105" w:leftChars="50" w:right="105" w:rightChars="50"/>
              <w:rPr>
                <w:rFonts w:hint="default" w:ascii="Times New Roman" w:hAnsi="Times New Roman" w:cs="Times New Roman"/>
                <w:b/>
                <w:color w:val="000000"/>
              </w:rPr>
            </w:pPr>
            <w:r>
              <w:rPr>
                <w:rFonts w:hint="default" w:ascii="Times New Roman" w:hAnsi="Times New Roman" w:cs="Times New Roman"/>
                <w:b/>
                <w:color w:val="000000"/>
                <w:szCs w:val="21"/>
              </w:rPr>
              <w:t xml:space="preserve">                       </w:t>
            </w:r>
            <w:r>
              <w:rPr>
                <w:rFonts w:hint="default" w:ascii="Times New Roman" w:hAnsi="Times New Roman" w:cs="Times New Roman"/>
                <w:b/>
                <w:color w:val="000000"/>
                <w:szCs w:val="21"/>
                <w:lang w:val="en-US" w:eastAsia="zh-CN"/>
              </w:rPr>
              <w:t xml:space="preserve">          </w:t>
            </w:r>
            <w:r>
              <w:rPr>
                <w:rFonts w:hint="default" w:ascii="Times New Roman" w:hAnsi="Times New Roman" w:cs="Times New Roman"/>
                <w:b/>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58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ascii="Times New Roman" w:hAnsi="Times New Roman" w:cs="Times New Roman"/>
                <w:b/>
                <w:color w:val="000000"/>
              </w:rPr>
            </w:pPr>
            <w:r>
              <w:rPr>
                <w:rFonts w:hint="default" w:ascii="Times New Roman" w:hAnsi="Times New Roman" w:cs="Times New Roman"/>
                <w:b/>
                <w:color w:val="000000"/>
                <w:szCs w:val="21"/>
              </w:rPr>
              <w:t>省级</w:t>
            </w:r>
          </w:p>
          <w:p>
            <w:pPr>
              <w:ind w:left="105" w:leftChars="50" w:right="105" w:rightChars="50"/>
              <w:jc w:val="center"/>
              <w:rPr>
                <w:rFonts w:hint="default" w:ascii="Times New Roman" w:hAnsi="Times New Roman" w:cs="Times New Roman"/>
                <w:b/>
                <w:color w:val="000000"/>
              </w:rPr>
            </w:pPr>
            <w:r>
              <w:rPr>
                <w:rFonts w:hint="default" w:ascii="Times New Roman" w:hAnsi="Times New Roman" w:cs="Times New Roman"/>
                <w:b/>
                <w:color w:val="000000"/>
                <w:szCs w:val="21"/>
              </w:rPr>
              <w:t>农业</w:t>
            </w:r>
          </w:p>
          <w:p>
            <w:pPr>
              <w:ind w:left="105" w:leftChars="50" w:right="105" w:rightChars="50"/>
              <w:jc w:val="center"/>
              <w:rPr>
                <w:rFonts w:hint="default" w:ascii="Times New Roman" w:hAnsi="Times New Roman" w:cs="Times New Roman"/>
                <w:b/>
                <w:color w:val="000000"/>
              </w:rPr>
            </w:pPr>
            <w:r>
              <w:rPr>
                <w:rFonts w:hint="default" w:ascii="Times New Roman" w:hAnsi="Times New Roman" w:cs="Times New Roman"/>
                <w:b/>
                <w:color w:val="000000"/>
                <w:szCs w:val="21"/>
              </w:rPr>
              <w:t>农村</w:t>
            </w:r>
          </w:p>
          <w:p>
            <w:pPr>
              <w:ind w:left="105" w:leftChars="50" w:right="105" w:rightChars="50"/>
              <w:jc w:val="center"/>
              <w:rPr>
                <w:rFonts w:hint="default" w:ascii="Times New Roman" w:hAnsi="Times New Roman" w:cs="Times New Roman"/>
                <w:b/>
                <w:color w:val="000000"/>
              </w:rPr>
            </w:pPr>
            <w:r>
              <w:rPr>
                <w:rFonts w:hint="default" w:ascii="Times New Roman" w:hAnsi="Times New Roman" w:cs="Times New Roman"/>
                <w:b/>
                <w:color w:val="000000"/>
                <w:szCs w:val="21"/>
              </w:rPr>
              <w:t>部门</w:t>
            </w:r>
          </w:p>
          <w:p>
            <w:pPr>
              <w:ind w:left="105" w:leftChars="50" w:right="105" w:rightChars="50"/>
              <w:jc w:val="center"/>
              <w:rPr>
                <w:rFonts w:hint="default" w:ascii="Times New Roman" w:hAnsi="Times New Roman" w:cs="Times New Roman"/>
                <w:b/>
                <w:color w:val="000000"/>
              </w:rPr>
            </w:pPr>
            <w:r>
              <w:rPr>
                <w:rFonts w:hint="default" w:ascii="Times New Roman" w:hAnsi="Times New Roman" w:cs="Times New Roman"/>
                <w:b/>
                <w:color w:val="000000"/>
                <w:szCs w:val="21"/>
              </w:rPr>
              <w:t>意见</w:t>
            </w:r>
          </w:p>
        </w:tc>
        <w:tc>
          <w:tcPr>
            <w:tcW w:w="7515" w:type="dxa"/>
            <w:gridSpan w:val="7"/>
            <w:tcBorders>
              <w:top w:val="single" w:color="auto" w:sz="4" w:space="0"/>
              <w:left w:val="nil"/>
              <w:bottom w:val="single" w:color="auto" w:sz="4" w:space="0"/>
              <w:right w:val="single" w:color="auto" w:sz="4" w:space="0"/>
            </w:tcBorders>
            <w:noWrap w:val="0"/>
            <w:vAlign w:val="top"/>
          </w:tcPr>
          <w:p>
            <w:pPr>
              <w:ind w:left="105" w:leftChars="50" w:right="105" w:rightChars="50"/>
              <w:rPr>
                <w:rFonts w:hint="default" w:ascii="Times New Roman" w:hAnsi="Times New Roman" w:cs="Times New Roman"/>
                <w:b/>
                <w:color w:val="000000"/>
              </w:rPr>
            </w:pPr>
          </w:p>
          <w:p>
            <w:pPr>
              <w:ind w:left="105" w:leftChars="50" w:right="105" w:rightChars="50"/>
              <w:rPr>
                <w:rFonts w:hint="default" w:ascii="Times New Roman" w:hAnsi="Times New Roman" w:cs="Times New Roman"/>
                <w:b/>
                <w:color w:val="000000"/>
              </w:rPr>
            </w:pPr>
          </w:p>
          <w:p>
            <w:pPr>
              <w:ind w:left="105" w:leftChars="50" w:right="105" w:rightChars="50" w:firstLine="3373" w:firstLineChars="1600"/>
              <w:rPr>
                <w:rFonts w:hint="default" w:ascii="Times New Roman" w:hAnsi="Times New Roman" w:cs="Times New Roman"/>
                <w:b/>
                <w:color w:val="000000"/>
              </w:rPr>
            </w:pPr>
            <w:r>
              <w:rPr>
                <w:rFonts w:hint="default" w:ascii="Times New Roman" w:hAnsi="Times New Roman" w:cs="Times New Roman"/>
                <w:b/>
                <w:color w:val="000000"/>
                <w:szCs w:val="21"/>
              </w:rPr>
              <w:t>农业农村部门（盖章）</w:t>
            </w:r>
          </w:p>
          <w:p>
            <w:pPr>
              <w:ind w:left="105" w:leftChars="50" w:right="105" w:rightChars="50"/>
              <w:rPr>
                <w:rFonts w:hint="default" w:ascii="Times New Roman" w:hAnsi="Times New Roman" w:cs="Times New Roman"/>
                <w:b/>
                <w:color w:val="000000"/>
              </w:rPr>
            </w:pPr>
          </w:p>
          <w:p>
            <w:pPr>
              <w:ind w:left="105" w:leftChars="50" w:right="105" w:rightChars="50" w:firstLine="1265" w:firstLineChars="600"/>
              <w:rPr>
                <w:rFonts w:hint="default" w:ascii="Times New Roman" w:hAnsi="Times New Roman" w:cs="Times New Roman"/>
                <w:b/>
                <w:color w:val="000000"/>
              </w:rPr>
            </w:pPr>
            <w:r>
              <w:rPr>
                <w:rFonts w:hint="default" w:ascii="Times New Roman" w:hAnsi="Times New Roman" w:cs="Times New Roman"/>
                <w:b/>
                <w:color w:val="000000"/>
                <w:szCs w:val="21"/>
              </w:rPr>
              <w:t xml:space="preserve">                      年    月    日</w:t>
            </w:r>
          </w:p>
          <w:p>
            <w:pPr>
              <w:ind w:left="105" w:leftChars="50" w:right="105" w:rightChars="50"/>
              <w:rPr>
                <w:rFonts w:hint="default" w:ascii="Times New Roman" w:hAnsi="Times New Roman" w:cs="Times New Roman"/>
                <w:b/>
                <w:color w:val="000000"/>
              </w:rPr>
            </w:pPr>
          </w:p>
        </w:tc>
      </w:tr>
    </w:tbl>
    <w:p>
      <w:pPr>
        <w:rPr>
          <w:rFonts w:hint="default" w:ascii="Times New Roman" w:hAnsi="Times New Roman" w:eastAsia="华文中宋" w:cs="Times New Roman"/>
          <w:color w:val="000000"/>
          <w:sz w:val="32"/>
          <w:szCs w:val="32"/>
        </w:rPr>
        <w:sectPr>
          <w:footerReference r:id="rId3" w:type="default"/>
          <w:pgSz w:w="11906" w:h="16838"/>
          <w:pgMar w:top="1440" w:right="1800" w:bottom="1440" w:left="1800" w:header="851" w:footer="992" w:gutter="0"/>
          <w:cols w:space="720" w:num="1"/>
          <w:docGrid w:type="lines" w:linePitch="312" w:charSpace="0"/>
        </w:sectPr>
      </w:pPr>
    </w:p>
    <w:p>
      <w:pPr>
        <w:ind w:right="105" w:rightChars="50"/>
        <w:jc w:val="center"/>
        <w:rPr>
          <w:rFonts w:hint="default" w:ascii="Times New Roman" w:hAnsi="Times New Roman" w:eastAsia="华文中宋" w:cs="Times New Roman"/>
          <w:sz w:val="32"/>
          <w:szCs w:val="32"/>
        </w:rPr>
      </w:pPr>
      <w:r>
        <w:rPr>
          <w:rFonts w:hint="default" w:ascii="Times New Roman" w:hAnsi="Times New Roman" w:eastAsia="华文中宋" w:cs="Times New Roman"/>
          <w:sz w:val="32"/>
          <w:szCs w:val="32"/>
        </w:rPr>
        <w:t>全国休闲农业重点县监测表填报说明</w:t>
      </w:r>
    </w:p>
    <w:p>
      <w:pPr>
        <w:numPr>
          <w:ilvl w:val="0"/>
          <w:numId w:val="0"/>
        </w:numPr>
        <w:snapToGrid w:val="0"/>
        <w:ind w:right="105" w:rightChars="50" w:firstLine="480" w:firstLineChars="200"/>
        <w:rPr>
          <w:rFonts w:hint="default" w:ascii="Times New Roman" w:hAnsi="Times New Roman" w:eastAsia="仿宋_GB2312" w:cs="Times New Roman"/>
          <w:color w:val="000000" w:themeColor="text1"/>
          <w:sz w:val="24"/>
          <w:szCs w:val="24"/>
          <w:highlight w:val="none"/>
          <w14:textFill>
            <w14:solidFill>
              <w14:schemeClr w14:val="tx1"/>
            </w14:solidFill>
          </w14:textFill>
        </w:rPr>
      </w:pPr>
      <w:bookmarkStart w:id="0" w:name="_GoBack"/>
      <w:bookmarkEnd w:id="0"/>
      <w:r>
        <w:rPr>
          <w:rFonts w:hint="default" w:ascii="Times New Roman" w:hAnsi="Times New Roman" w:eastAsia="仿宋_GB2312" w:cs="Times New Roman"/>
          <w:color w:val="000000" w:themeColor="text1"/>
          <w:sz w:val="24"/>
          <w:szCs w:val="24"/>
          <w14:textFill>
            <w14:solidFill>
              <w14:schemeClr w14:val="tx1"/>
            </w14:solidFill>
          </w14:textFill>
        </w:rPr>
        <w:t>1.表中数据用上年实际数，但带“*”指标，指20</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20—</w:t>
      </w:r>
      <w:r>
        <w:rPr>
          <w:rFonts w:hint="default" w:ascii="Times New Roman" w:hAnsi="Times New Roman" w:eastAsia="仿宋_GB2312" w:cs="Times New Roman"/>
          <w:color w:val="000000" w:themeColor="text1"/>
          <w:sz w:val="24"/>
          <w:szCs w:val="24"/>
          <w14:textFill>
            <w14:solidFill>
              <w14:schemeClr w14:val="tx1"/>
            </w14:solidFill>
          </w14:textFill>
        </w:rPr>
        <w:t>202</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14:textFill>
            <w14:solidFill>
              <w14:schemeClr w14:val="tx1"/>
            </w14:solidFill>
          </w14:textFill>
        </w:rPr>
        <w:t>三年数据平均值。“近三年平均增速”指</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以2019年为基期，</w:t>
      </w:r>
      <w:r>
        <w:rPr>
          <w:rFonts w:hint="default" w:ascii="Times New Roman" w:hAnsi="Times New Roman" w:eastAsia="仿宋_GB2312" w:cs="Times New Roman"/>
          <w:color w:val="000000" w:themeColor="text1"/>
          <w:sz w:val="24"/>
          <w:szCs w:val="24"/>
          <w14:textFill>
            <w14:solidFill>
              <w14:schemeClr w14:val="tx1"/>
            </w14:solidFill>
          </w14:textFill>
        </w:rPr>
        <w:t>20</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20—</w:t>
      </w:r>
      <w:r>
        <w:rPr>
          <w:rFonts w:hint="default" w:ascii="Times New Roman" w:hAnsi="Times New Roman" w:eastAsia="仿宋_GB2312" w:cs="Times New Roman"/>
          <w:color w:val="000000" w:themeColor="text1"/>
          <w:sz w:val="24"/>
          <w:szCs w:val="24"/>
          <w14:textFill>
            <w14:solidFill>
              <w14:schemeClr w14:val="tx1"/>
            </w14:solidFill>
          </w14:textFill>
        </w:rPr>
        <w:t>202</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14:textFill>
            <w14:solidFill>
              <w14:schemeClr w14:val="tx1"/>
            </w14:solidFill>
          </w14:textFill>
        </w:rPr>
        <w:t>年</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的</w:t>
      </w:r>
      <w:r>
        <w:rPr>
          <w:rFonts w:hint="default" w:ascii="Times New Roman" w:hAnsi="Times New Roman" w:eastAsia="仿宋_GB2312" w:cs="Times New Roman"/>
          <w:color w:val="000000" w:themeColor="text1"/>
          <w:sz w:val="24"/>
          <w:szCs w:val="24"/>
          <w14:textFill>
            <w14:solidFill>
              <w14:schemeClr w14:val="tx1"/>
            </w14:solidFill>
          </w14:textFill>
        </w:rPr>
        <w:t>年均增长率</w:t>
      </w:r>
      <m:oMath>
        <m:r>
          <m:rPr/>
          <w:rPr>
            <w:rFonts w:hint="default" w:ascii="Cambria Math" w:hAnsi="Cambria Math" w:eastAsia="仿宋_GB2312" w:cs="Times New Roman"/>
            <w:color w:val="000000" w:themeColor="text1"/>
            <w:sz w:val="24"/>
            <w:szCs w:val="24"/>
            <w14:textFill>
              <w14:solidFill>
                <w14:schemeClr w14:val="tx1"/>
              </w14:solidFill>
            </w14:textFill>
          </w:rPr>
          <m:t>α</m:t>
        </m:r>
      </m:oMath>
      <w:r>
        <w:rPr>
          <w:rFonts w:hint="default" w:ascii="Times New Roman" w:hAnsi="Times New Roman" w:eastAsia="仿宋_GB2312" w:cs="Times New Roman"/>
          <w:color w:val="000000" w:themeColor="text1"/>
          <w:sz w:val="24"/>
          <w:szCs w:val="24"/>
          <w14:textFill>
            <w14:solidFill>
              <w14:schemeClr w14:val="tx1"/>
            </w14:solidFill>
          </w14:textFill>
        </w:rPr>
        <w:t>，</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基期2019年的数据为</w:t>
      </w:r>
      <m:oMath>
        <m:sSub>
          <m:sSubPr>
            <m:ctrlPr>
              <w:rPr>
                <w:rFonts w:hint="default" w:ascii="Cambria Math" w:hAnsi="Cambria Math" w:eastAsia="仿宋_GB2312" w:cs="Times New Roman"/>
                <w:i/>
                <w:color w:val="000000" w:themeColor="text1"/>
                <w:sz w:val="24"/>
                <w:szCs w:val="24"/>
                <w14:textFill>
                  <w14:solidFill>
                    <w14:schemeClr w14:val="tx1"/>
                  </w14:solidFill>
                </w14:textFill>
              </w:rPr>
            </m:ctrlPr>
          </m:sSubPr>
          <m:e>
            <m:r>
              <m:rPr/>
              <w:rPr>
                <w:rFonts w:hint="default" w:ascii="Cambria Math" w:hAnsi="Cambria Math" w:eastAsia="仿宋_GB2312" w:cs="Times New Roman"/>
                <w:color w:val="000000" w:themeColor="text1"/>
                <w:sz w:val="24"/>
                <w:szCs w:val="24"/>
                <w14:textFill>
                  <w14:solidFill>
                    <w14:schemeClr w14:val="tx1"/>
                  </w14:solidFill>
                </w14:textFill>
              </w:rPr>
              <m:t>x</m:t>
            </m:r>
            <m:ctrlPr>
              <w:rPr>
                <w:rFonts w:hint="default" w:ascii="Cambria Math" w:hAnsi="Cambria Math" w:eastAsia="仿宋_GB2312" w:cs="Times New Roman"/>
                <w:i/>
                <w:color w:val="000000" w:themeColor="text1"/>
                <w:sz w:val="24"/>
                <w:szCs w:val="24"/>
                <w14:textFill>
                  <w14:solidFill>
                    <w14:schemeClr w14:val="tx1"/>
                  </w14:solidFill>
                </w14:textFill>
              </w:rPr>
            </m:ctrlPr>
          </m:e>
          <m:sub>
            <m:r>
              <m:rPr/>
              <w:rPr>
                <w:rFonts w:hint="default" w:ascii="Cambria Math" w:hAnsi="Cambria Math" w:eastAsia="仿宋_GB2312" w:cs="Times New Roman"/>
                <w:color w:val="000000" w:themeColor="text1"/>
                <w:sz w:val="24"/>
                <w:szCs w:val="24"/>
                <w14:textFill>
                  <w14:solidFill>
                    <w14:schemeClr w14:val="tx1"/>
                  </w14:solidFill>
                </w14:textFill>
              </w:rPr>
              <m:t>20</m:t>
            </m:r>
            <m:r>
              <m:rPr/>
              <w:rPr>
                <w:rFonts w:hint="default" w:ascii="Cambria Math" w:hAnsi="Cambria Math" w:eastAsia="仿宋_GB2312" w:cs="Times New Roman"/>
                <w:color w:val="000000" w:themeColor="text1"/>
                <w:sz w:val="24"/>
                <w:szCs w:val="24"/>
                <w:lang w:val="en-US" w:eastAsia="zh-CN"/>
                <w14:textFill>
                  <w14:solidFill>
                    <w14:schemeClr w14:val="tx1"/>
                  </w14:solidFill>
                </w14:textFill>
              </w:rPr>
              <m:t>19</m:t>
            </m:r>
            <m:ctrlPr>
              <w:rPr>
                <w:rFonts w:hint="default" w:ascii="Cambria Math" w:hAnsi="Cambria Math" w:eastAsia="仿宋_GB2312" w:cs="Times New Roman"/>
                <w:i/>
                <w:color w:val="000000" w:themeColor="text1"/>
                <w:sz w:val="24"/>
                <w:szCs w:val="24"/>
                <w14:textFill>
                  <w14:solidFill>
                    <w14:schemeClr w14:val="tx1"/>
                  </w14:solidFill>
                </w14:textFill>
              </w:rPr>
            </m:ctrlPr>
          </m:sub>
        </m:sSub>
      </m:oMath>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w:t>
      </w:r>
      <w:r>
        <w:rPr>
          <w:rFonts w:hint="default" w:ascii="Times New Roman" w:hAnsi="Times New Roman" w:eastAsia="仿宋_GB2312" w:cs="Times New Roman"/>
          <w:i w:val="0"/>
          <w:color w:val="000000" w:themeColor="text1"/>
          <w:sz w:val="24"/>
          <w:szCs w:val="24"/>
          <w:lang w:val="en-US" w:eastAsia="zh-CN"/>
          <w14:textFill>
            <w14:solidFill>
              <w14:schemeClr w14:val="tx1"/>
            </w14:solidFill>
          </w14:textFill>
        </w:rPr>
        <w:t>2022年的数据为</w:t>
      </w:r>
      <m:oMath>
        <m:sSub>
          <m:sSubPr>
            <m:ctrlPr>
              <w:rPr>
                <w:rFonts w:hint="default" w:ascii="Cambria Math" w:hAnsi="Cambria Math" w:eastAsia="仿宋_GB2312" w:cs="Times New Roman"/>
                <w:i/>
                <w:color w:val="000000" w:themeColor="text1"/>
                <w:sz w:val="24"/>
                <w:szCs w:val="24"/>
                <w14:textFill>
                  <w14:solidFill>
                    <w14:schemeClr w14:val="tx1"/>
                  </w14:solidFill>
                </w14:textFill>
              </w:rPr>
            </m:ctrlPr>
          </m:sSubPr>
          <m:e>
            <m:r>
              <m:rPr/>
              <w:rPr>
                <w:rFonts w:hint="default" w:ascii="Cambria Math" w:hAnsi="Cambria Math" w:eastAsia="仿宋_GB2312" w:cs="Times New Roman"/>
                <w:color w:val="000000" w:themeColor="text1"/>
                <w:sz w:val="24"/>
                <w:szCs w:val="24"/>
                <w14:textFill>
                  <w14:solidFill>
                    <w14:schemeClr w14:val="tx1"/>
                  </w14:solidFill>
                </w14:textFill>
              </w:rPr>
              <m:t>x</m:t>
            </m:r>
            <m:ctrlPr>
              <w:rPr>
                <w:rFonts w:hint="default" w:ascii="Cambria Math" w:hAnsi="Cambria Math" w:eastAsia="仿宋_GB2312" w:cs="Times New Roman"/>
                <w:i/>
                <w:color w:val="000000" w:themeColor="text1"/>
                <w:sz w:val="24"/>
                <w:szCs w:val="24"/>
                <w14:textFill>
                  <w14:solidFill>
                    <w14:schemeClr w14:val="tx1"/>
                  </w14:solidFill>
                </w14:textFill>
              </w:rPr>
            </m:ctrlPr>
          </m:e>
          <m:sub>
            <m:r>
              <m:rPr/>
              <w:rPr>
                <w:rFonts w:hint="default" w:ascii="Cambria Math" w:hAnsi="Cambria Math" w:eastAsia="仿宋_GB2312" w:cs="Times New Roman"/>
                <w:color w:val="000000" w:themeColor="text1"/>
                <w:sz w:val="24"/>
                <w:szCs w:val="24"/>
                <w14:textFill>
                  <w14:solidFill>
                    <w14:schemeClr w14:val="tx1"/>
                  </w14:solidFill>
                </w14:textFill>
              </w:rPr>
              <m:t>202</m:t>
            </m:r>
            <m:r>
              <m:rPr/>
              <w:rPr>
                <w:rFonts w:hint="default" w:ascii="Cambria Math" w:hAnsi="Cambria Math" w:eastAsia="仿宋_GB2312" w:cs="Times New Roman"/>
                <w:color w:val="000000" w:themeColor="text1"/>
                <w:sz w:val="24"/>
                <w:szCs w:val="24"/>
                <w:lang w:val="en-US" w:eastAsia="zh-CN"/>
                <w14:textFill>
                  <w14:solidFill>
                    <w14:schemeClr w14:val="tx1"/>
                  </w14:solidFill>
                </w14:textFill>
              </w:rPr>
              <m:t>2</m:t>
            </m:r>
            <m:ctrlPr>
              <w:rPr>
                <w:rFonts w:hint="default" w:ascii="Cambria Math" w:hAnsi="Cambria Math" w:eastAsia="仿宋_GB2312" w:cs="Times New Roman"/>
                <w:i/>
                <w:color w:val="000000" w:themeColor="text1"/>
                <w:sz w:val="24"/>
                <w:szCs w:val="24"/>
                <w14:textFill>
                  <w14:solidFill>
                    <w14:schemeClr w14:val="tx1"/>
                  </w14:solidFill>
                </w14:textFill>
              </w:rPr>
            </m:ctrlPr>
          </m:sub>
        </m:sSub>
      </m:oMath>
      <w:r>
        <w:rPr>
          <w:rFonts w:hint="default" w:ascii="Times New Roman" w:hAnsi="Times New Roman" w:eastAsia="仿宋_GB2312" w:cs="Times New Roman"/>
          <w:i w:val="0"/>
          <w:color w:val="000000" w:themeColor="text1"/>
          <w:sz w:val="24"/>
          <w:szCs w:val="24"/>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计算公式：</w:t>
      </w:r>
      <m:oMath>
        <m:r>
          <m:rPr/>
          <w:rPr>
            <w:rFonts w:hint="default" w:ascii="Cambria Math" w:hAnsi="Cambria Math" w:eastAsia="仿宋_GB2312" w:cs="Times New Roman"/>
            <w:color w:val="000000" w:themeColor="text1"/>
            <w:sz w:val="24"/>
            <w:szCs w:val="24"/>
            <w14:textFill>
              <w14:solidFill>
                <w14:schemeClr w14:val="tx1"/>
              </w14:solidFill>
            </w14:textFill>
          </w:rPr>
          <m:t>α</m:t>
        </m:r>
        <m:r>
          <m:rPr/>
          <w:rPr>
            <w:rFonts w:hint="default" w:ascii="Cambria Math" w:hAnsi="Cambria Math" w:eastAsia="仿宋_GB2312" w:cs="Times New Roman"/>
            <w:color w:val="000000" w:themeColor="text1"/>
            <w:sz w:val="24"/>
            <w:szCs w:val="24"/>
            <w:lang w:val="en-US" w:eastAsia="zh-CN"/>
            <w14:textFill>
              <w14:solidFill>
                <w14:schemeClr w14:val="tx1"/>
              </w14:solidFill>
            </w14:textFill>
          </w:rPr>
          <m:t>=(</m:t>
        </m:r>
        <m:rad>
          <m:radPr>
            <m:ctrlPr>
              <w:rPr>
                <w:rFonts w:hint="default" w:ascii="Cambria Math" w:hAnsi="Cambria Math" w:eastAsia="仿宋_GB2312" w:cs="Times New Roman"/>
                <w:i/>
                <w:color w:val="000000" w:themeColor="text1"/>
                <w:sz w:val="24"/>
                <w:szCs w:val="24"/>
                <w:lang w:val="en-US"/>
                <w14:textFill>
                  <w14:solidFill>
                    <w14:schemeClr w14:val="tx1"/>
                  </w14:solidFill>
                </w14:textFill>
              </w:rPr>
            </m:ctrlPr>
          </m:radPr>
          <m:deg>
            <m:r>
              <m:rPr/>
              <w:rPr>
                <w:rFonts w:hint="default" w:ascii="Cambria Math" w:hAnsi="Cambria Math" w:eastAsia="仿宋_GB2312" w:cs="Times New Roman"/>
                <w:color w:val="000000" w:themeColor="text1"/>
                <w:sz w:val="24"/>
                <w:szCs w:val="24"/>
                <w:lang w:val="en-US"/>
                <w14:textFill>
                  <w14:solidFill>
                    <w14:schemeClr w14:val="tx1"/>
                  </w14:solidFill>
                </w14:textFill>
              </w:rPr>
              <m:t>3</m:t>
            </m:r>
            <m:ctrlPr>
              <w:rPr>
                <w:rFonts w:hint="default" w:ascii="Cambria Math" w:hAnsi="Cambria Math" w:eastAsia="仿宋_GB2312" w:cs="Times New Roman"/>
                <w:i/>
                <w:color w:val="000000" w:themeColor="text1"/>
                <w:sz w:val="24"/>
                <w:szCs w:val="24"/>
                <w:lang w:val="en-US"/>
                <w14:textFill>
                  <w14:solidFill>
                    <w14:schemeClr w14:val="tx1"/>
                  </w14:solidFill>
                </w14:textFill>
              </w:rPr>
            </m:ctrlPr>
          </m:deg>
          <m:e>
            <m:f>
              <m:fPr>
                <m:type m:val="skw"/>
                <m:ctrlPr>
                  <w:rPr>
                    <w:rFonts w:hint="default" w:ascii="Cambria Math" w:hAnsi="Cambria Math" w:eastAsia="仿宋_GB2312" w:cs="Times New Roman"/>
                    <w:i/>
                    <w:color w:val="000000" w:themeColor="text1"/>
                    <w:sz w:val="24"/>
                    <w:szCs w:val="24"/>
                    <w14:textFill>
                      <w14:solidFill>
                        <w14:schemeClr w14:val="tx1"/>
                      </w14:solidFill>
                    </w14:textFill>
                  </w:rPr>
                </m:ctrlPr>
              </m:fPr>
              <m:num>
                <m:sSub>
                  <m:sSubPr>
                    <m:ctrlPr>
                      <w:rPr>
                        <w:rFonts w:hint="default" w:ascii="Cambria Math" w:hAnsi="Cambria Math" w:eastAsia="仿宋_GB2312" w:cs="Times New Roman"/>
                        <w:i/>
                        <w:color w:val="000000" w:themeColor="text1"/>
                        <w:sz w:val="24"/>
                        <w:szCs w:val="24"/>
                        <w14:textFill>
                          <w14:solidFill>
                            <w14:schemeClr w14:val="tx1"/>
                          </w14:solidFill>
                        </w14:textFill>
                      </w:rPr>
                    </m:ctrlPr>
                  </m:sSubPr>
                  <m:e>
                    <m:r>
                      <m:rPr/>
                      <w:rPr>
                        <w:rFonts w:hint="default" w:ascii="Cambria Math" w:hAnsi="Cambria Math" w:eastAsia="仿宋_GB2312" w:cs="Times New Roman"/>
                        <w:color w:val="000000" w:themeColor="text1"/>
                        <w:sz w:val="24"/>
                        <w:szCs w:val="24"/>
                        <w14:textFill>
                          <w14:solidFill>
                            <w14:schemeClr w14:val="tx1"/>
                          </w14:solidFill>
                        </w14:textFill>
                      </w:rPr>
                      <m:t>x</m:t>
                    </m:r>
                    <m:ctrlPr>
                      <w:rPr>
                        <w:rFonts w:hint="default" w:ascii="Cambria Math" w:hAnsi="Cambria Math" w:eastAsia="仿宋_GB2312" w:cs="Times New Roman"/>
                        <w:i/>
                        <w:color w:val="000000" w:themeColor="text1"/>
                        <w:sz w:val="24"/>
                        <w:szCs w:val="24"/>
                        <w14:textFill>
                          <w14:solidFill>
                            <w14:schemeClr w14:val="tx1"/>
                          </w14:solidFill>
                        </w14:textFill>
                      </w:rPr>
                    </m:ctrlPr>
                  </m:e>
                  <m:sub>
                    <m:r>
                      <m:rPr/>
                      <w:rPr>
                        <w:rFonts w:hint="default" w:ascii="Cambria Math" w:hAnsi="Cambria Math" w:eastAsia="仿宋_GB2312" w:cs="Times New Roman"/>
                        <w:color w:val="000000" w:themeColor="text1"/>
                        <w:sz w:val="24"/>
                        <w:szCs w:val="24"/>
                        <w14:textFill>
                          <w14:solidFill>
                            <w14:schemeClr w14:val="tx1"/>
                          </w14:solidFill>
                        </w14:textFill>
                      </w:rPr>
                      <m:t>202</m:t>
                    </m:r>
                    <m:r>
                      <m:rPr/>
                      <w:rPr>
                        <w:rFonts w:hint="default" w:ascii="Cambria Math" w:hAnsi="Cambria Math" w:eastAsia="仿宋_GB2312" w:cs="Times New Roman"/>
                        <w:color w:val="000000" w:themeColor="text1"/>
                        <w:sz w:val="24"/>
                        <w:szCs w:val="24"/>
                        <w:lang w:val="en-US" w:eastAsia="zh-CN"/>
                        <w14:textFill>
                          <w14:solidFill>
                            <w14:schemeClr w14:val="tx1"/>
                          </w14:solidFill>
                        </w14:textFill>
                      </w:rPr>
                      <m:t>2</m:t>
                    </m:r>
                    <m:ctrlPr>
                      <w:rPr>
                        <w:rFonts w:hint="default" w:ascii="Cambria Math" w:hAnsi="Cambria Math" w:eastAsia="仿宋_GB2312" w:cs="Times New Roman"/>
                        <w:i/>
                        <w:color w:val="000000" w:themeColor="text1"/>
                        <w:sz w:val="24"/>
                        <w:szCs w:val="24"/>
                        <w14:textFill>
                          <w14:solidFill>
                            <w14:schemeClr w14:val="tx1"/>
                          </w14:solidFill>
                        </w14:textFill>
                      </w:rPr>
                    </m:ctrlPr>
                  </m:sub>
                </m:sSub>
                <m:ctrlPr>
                  <w:rPr>
                    <w:rFonts w:hint="default" w:ascii="Cambria Math" w:hAnsi="Cambria Math" w:eastAsia="仿宋_GB2312" w:cs="Times New Roman"/>
                    <w:i/>
                    <w:color w:val="000000" w:themeColor="text1"/>
                    <w:sz w:val="24"/>
                    <w:szCs w:val="24"/>
                    <w14:textFill>
                      <w14:solidFill>
                        <w14:schemeClr w14:val="tx1"/>
                      </w14:solidFill>
                    </w14:textFill>
                  </w:rPr>
                </m:ctrlPr>
              </m:num>
              <m:den>
                <m:sSub>
                  <m:sSubPr>
                    <m:ctrlPr>
                      <w:rPr>
                        <w:rFonts w:hint="default" w:ascii="Cambria Math" w:hAnsi="Cambria Math" w:eastAsia="仿宋_GB2312" w:cs="Times New Roman"/>
                        <w:i/>
                        <w:color w:val="000000" w:themeColor="text1"/>
                        <w:sz w:val="24"/>
                        <w:szCs w:val="24"/>
                        <w14:textFill>
                          <w14:solidFill>
                            <w14:schemeClr w14:val="tx1"/>
                          </w14:solidFill>
                        </w14:textFill>
                      </w:rPr>
                    </m:ctrlPr>
                  </m:sSubPr>
                  <m:e>
                    <m:r>
                      <m:rPr/>
                      <w:rPr>
                        <w:rFonts w:hint="default" w:ascii="Cambria Math" w:hAnsi="Cambria Math" w:eastAsia="仿宋_GB2312" w:cs="Times New Roman"/>
                        <w:color w:val="000000" w:themeColor="text1"/>
                        <w:sz w:val="24"/>
                        <w:szCs w:val="24"/>
                        <w14:textFill>
                          <w14:solidFill>
                            <w14:schemeClr w14:val="tx1"/>
                          </w14:solidFill>
                        </w14:textFill>
                      </w:rPr>
                      <m:t>x</m:t>
                    </m:r>
                    <m:ctrlPr>
                      <w:rPr>
                        <w:rFonts w:hint="default" w:ascii="Cambria Math" w:hAnsi="Cambria Math" w:eastAsia="仿宋_GB2312" w:cs="Times New Roman"/>
                        <w:i/>
                        <w:color w:val="000000" w:themeColor="text1"/>
                        <w:sz w:val="24"/>
                        <w:szCs w:val="24"/>
                        <w14:textFill>
                          <w14:solidFill>
                            <w14:schemeClr w14:val="tx1"/>
                          </w14:solidFill>
                        </w14:textFill>
                      </w:rPr>
                    </m:ctrlPr>
                  </m:e>
                  <m:sub>
                    <m:r>
                      <m:rPr/>
                      <w:rPr>
                        <w:rFonts w:hint="default" w:ascii="Cambria Math" w:hAnsi="Cambria Math" w:eastAsia="仿宋_GB2312" w:cs="Times New Roman"/>
                        <w:color w:val="000000" w:themeColor="text1"/>
                        <w:sz w:val="24"/>
                        <w:szCs w:val="24"/>
                        <w14:textFill>
                          <w14:solidFill>
                            <w14:schemeClr w14:val="tx1"/>
                          </w14:solidFill>
                        </w14:textFill>
                      </w:rPr>
                      <m:t>201</m:t>
                    </m:r>
                    <m:r>
                      <m:rPr/>
                      <w:rPr>
                        <w:rFonts w:hint="default" w:ascii="Cambria Math" w:hAnsi="Cambria Math" w:eastAsia="仿宋_GB2312" w:cs="Times New Roman"/>
                        <w:color w:val="000000" w:themeColor="text1"/>
                        <w:sz w:val="24"/>
                        <w:szCs w:val="24"/>
                        <w:lang w:val="en-US" w:eastAsia="zh-CN"/>
                        <w14:textFill>
                          <w14:solidFill>
                            <w14:schemeClr w14:val="tx1"/>
                          </w14:solidFill>
                        </w14:textFill>
                      </w:rPr>
                      <m:t>9</m:t>
                    </m:r>
                    <m:ctrlPr>
                      <w:rPr>
                        <w:rFonts w:hint="default" w:ascii="Cambria Math" w:hAnsi="Cambria Math" w:eastAsia="仿宋_GB2312" w:cs="Times New Roman"/>
                        <w:i/>
                        <w:color w:val="000000" w:themeColor="text1"/>
                        <w:sz w:val="24"/>
                        <w:szCs w:val="24"/>
                        <w14:textFill>
                          <w14:solidFill>
                            <w14:schemeClr w14:val="tx1"/>
                          </w14:solidFill>
                        </w14:textFill>
                      </w:rPr>
                    </m:ctrlPr>
                  </m:sub>
                </m:sSub>
                <m:ctrlPr>
                  <w:rPr>
                    <w:rFonts w:hint="default" w:ascii="Cambria Math" w:hAnsi="Cambria Math" w:eastAsia="仿宋_GB2312" w:cs="Times New Roman"/>
                    <w:i/>
                    <w:color w:val="000000" w:themeColor="text1"/>
                    <w:sz w:val="24"/>
                    <w:szCs w:val="24"/>
                    <w14:textFill>
                      <w14:solidFill>
                        <w14:schemeClr w14:val="tx1"/>
                      </w14:solidFill>
                    </w14:textFill>
                  </w:rPr>
                </m:ctrlPr>
              </m:den>
            </m:f>
            <m:ctrlPr>
              <w:rPr>
                <w:rFonts w:hint="default" w:ascii="Cambria Math" w:hAnsi="Cambria Math" w:eastAsia="仿宋_GB2312" w:cs="Times New Roman"/>
                <w:i/>
                <w:color w:val="000000" w:themeColor="text1"/>
                <w:sz w:val="24"/>
                <w:szCs w:val="24"/>
                <w:lang w:val="en-US"/>
                <w14:textFill>
                  <w14:solidFill>
                    <w14:schemeClr w14:val="tx1"/>
                  </w14:solidFill>
                </w14:textFill>
              </w:rPr>
            </m:ctrlPr>
          </m:e>
        </m:rad>
      </m:oMath>
      <w:r>
        <w:rPr>
          <w:rFonts w:hint="default" w:ascii="Times New Roman" w:hAnsi="Times New Roman" w:eastAsia="仿宋_GB2312" w:cs="Times New Roman"/>
          <w:i w:val="0"/>
          <w:color w:val="000000" w:themeColor="text1"/>
          <w:sz w:val="24"/>
          <w:szCs w:val="24"/>
          <w14:textFill>
            <w14:solidFill>
              <w14:schemeClr w14:val="tx1"/>
            </w14:solidFill>
          </w14:textFill>
        </w:rPr>
        <w:t>－</w:t>
      </w:r>
      <w:r>
        <w:rPr>
          <w:rFonts w:hint="default" w:ascii="Times New Roman" w:hAnsi="Times New Roman" w:eastAsia="仿宋_GB2312" w:cs="Times New Roman"/>
          <w:i w:val="0"/>
          <w:color w:val="000000" w:themeColor="text1"/>
          <w:sz w:val="24"/>
          <w:szCs w:val="24"/>
          <w:lang w:val="en-US" w:eastAsia="zh-CN"/>
          <w14:textFill>
            <w14:solidFill>
              <w14:schemeClr w14:val="tx1"/>
            </w14:solidFill>
          </w14:textFill>
        </w:rPr>
        <w:t>1)×100%</w:t>
      </w:r>
      <w:r>
        <w:rPr>
          <w:rFonts w:hint="default" w:ascii="Times New Roman" w:hAnsi="Times New Roman" w:eastAsia="仿宋_GB2312" w:cs="Times New Roman"/>
          <w:i w:val="0"/>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i w:val="0"/>
          <w:color w:val="000000" w:themeColor="text1"/>
          <w:sz w:val="24"/>
          <w:szCs w:val="24"/>
          <w:lang w:val="en-US" w:eastAsia="zh-CN"/>
          <w14:textFill>
            <w14:solidFill>
              <w14:schemeClr w14:val="tx1"/>
            </w14:solidFill>
          </w14:textFill>
        </w:rPr>
        <w:t>例</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如：</w:t>
      </w:r>
      <w:r>
        <w:rPr>
          <w:rFonts w:hint="default" w:ascii="Times New Roman" w:hAnsi="Times New Roman" w:eastAsia="仿宋_GB2312" w:cs="Times New Roman"/>
          <w:b w:val="0"/>
          <w:color w:val="000000" w:themeColor="text1"/>
          <w:sz w:val="24"/>
          <w:szCs w:val="24"/>
          <w14:textFill>
            <w14:solidFill>
              <w14:schemeClr w14:val="tx1"/>
            </w14:solidFill>
          </w14:textFill>
        </w:rPr>
        <w:t>休闲农业</w:t>
      </w:r>
      <w:r>
        <w:rPr>
          <w:rFonts w:hint="default" w:ascii="Times New Roman" w:hAnsi="Times New Roman" w:eastAsia="仿宋_GB2312" w:cs="Times New Roman"/>
          <w:b w:val="0"/>
          <w:color w:val="000000" w:themeColor="text1"/>
          <w:sz w:val="24"/>
          <w:szCs w:val="24"/>
          <w:lang w:val="en-US" w:eastAsia="zh-CN"/>
          <w14:textFill>
            <w14:solidFill>
              <w14:schemeClr w14:val="tx1"/>
            </w14:solidFill>
          </w14:textFill>
        </w:rPr>
        <w:t>营业</w:t>
      </w:r>
      <w:r>
        <w:rPr>
          <w:rFonts w:hint="default" w:ascii="Times New Roman" w:hAnsi="Times New Roman" w:eastAsia="仿宋_GB2312" w:cs="Times New Roman"/>
          <w:b w:val="0"/>
          <w:color w:val="000000" w:themeColor="text1"/>
          <w:sz w:val="24"/>
          <w:szCs w:val="24"/>
          <w14:textFill>
            <w14:solidFill>
              <w14:schemeClr w14:val="tx1"/>
            </w14:solidFill>
          </w14:textFill>
        </w:rPr>
        <w:t>收入三年平均增速</w:t>
      </w:r>
      <w:r>
        <w:rPr>
          <w:rFonts w:hint="default" w:ascii="Times New Roman" w:hAnsi="Times New Roman" w:eastAsia="仿宋_GB2312" w:cs="Times New Roman"/>
          <w:color w:val="000000" w:themeColor="text1"/>
          <w:sz w:val="24"/>
          <w:szCs w:val="24"/>
          <w14:textFill>
            <w14:solidFill>
              <w14:schemeClr w14:val="tx1"/>
            </w14:solidFill>
          </w14:textFill>
        </w:rPr>
        <w:t>=（</w:t>
      </w:r>
      <m:oMath>
        <m:rad>
          <m:radPr>
            <m:ctrlPr>
              <w:rPr>
                <w:rFonts w:hint="default" w:ascii="Cambria Math" w:hAnsi="Cambria Math" w:eastAsia="仿宋_GB2312" w:cs="Times New Roman"/>
                <w:i/>
                <w:color w:val="000000" w:themeColor="text1"/>
                <w:sz w:val="24"/>
                <w:szCs w:val="24"/>
                <w14:textFill>
                  <w14:solidFill>
                    <w14:schemeClr w14:val="tx1"/>
                  </w14:solidFill>
                </w14:textFill>
              </w:rPr>
            </m:ctrlPr>
          </m:radPr>
          <m:deg>
            <m:r>
              <m:rPr/>
              <w:rPr>
                <w:rFonts w:hint="default" w:ascii="Cambria Math" w:hAnsi="Cambria Math" w:eastAsia="仿宋_GB2312" w:cs="Times New Roman"/>
                <w:color w:val="000000" w:themeColor="text1"/>
                <w:sz w:val="24"/>
                <w:szCs w:val="24"/>
                <w14:textFill>
                  <w14:solidFill>
                    <w14:schemeClr w14:val="tx1"/>
                  </w14:solidFill>
                </w14:textFill>
              </w:rPr>
              <m:t>3</m:t>
            </m:r>
            <m:ctrlPr>
              <w:rPr>
                <w:rFonts w:hint="default" w:ascii="Cambria Math" w:hAnsi="Cambria Math" w:eastAsia="仿宋_GB2312" w:cs="Times New Roman"/>
                <w:i/>
                <w:color w:val="000000" w:themeColor="text1"/>
                <w:sz w:val="24"/>
                <w:szCs w:val="24"/>
                <w14:textFill>
                  <w14:solidFill>
                    <w14:schemeClr w14:val="tx1"/>
                  </w14:solidFill>
                </w14:textFill>
              </w:rPr>
            </m:ctrlPr>
          </m:deg>
          <m:e>
            <m:r>
              <m:rPr>
                <m:sty m:val="p"/>
              </m:rPr>
              <w:rPr>
                <w:rFonts w:hint="default" w:ascii="Cambria Math" w:hAnsi="Cambria Math" w:eastAsia="仿宋_GB2312" w:cs="Times New Roman"/>
                <w:color w:val="000000" w:themeColor="text1"/>
                <w:sz w:val="24"/>
                <w:szCs w:val="24"/>
                <w:lang w:val="en-US" w:eastAsia="zh-CN"/>
                <w14:textFill>
                  <w14:solidFill>
                    <w14:schemeClr w14:val="tx1"/>
                  </w14:solidFill>
                </w14:textFill>
              </w:rPr>
              <m:t>2022年营业收入总额/2019年营业收入总额</m:t>
            </m:r>
            <m:ctrlPr>
              <w:rPr>
                <w:rFonts w:hint="default" w:ascii="Cambria Math" w:hAnsi="Cambria Math" w:eastAsia="仿宋_GB2312" w:cs="Times New Roman"/>
                <w:i/>
                <w:color w:val="000000" w:themeColor="text1"/>
                <w:sz w:val="24"/>
                <w:szCs w:val="24"/>
                <w14:textFill>
                  <w14:solidFill>
                    <w14:schemeClr w14:val="tx1"/>
                  </w14:solidFill>
                </w14:textFill>
              </w:rPr>
            </m:ctrlPr>
          </m:e>
        </m:rad>
      </m:oMath>
      <w:r>
        <w:rPr>
          <w:rFonts w:hint="default" w:ascii="Times New Roman" w:hAnsi="Times New Roman" w:eastAsia="仿宋_GB2312" w:cs="Times New Roman"/>
          <w:color w:val="000000" w:themeColor="text1"/>
          <w:sz w:val="24"/>
          <w:szCs w:val="24"/>
          <w14:textFill>
            <w14:solidFill>
              <w14:schemeClr w14:val="tx1"/>
            </w14:solidFill>
          </w14:textFill>
        </w:rPr>
        <w:t>－1）×100%</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。如用excel表格计算：A1=2022</w:t>
      </w:r>
      <w:r>
        <w:rPr>
          <w:rFonts w:hint="default" w:ascii="Times New Roman" w:hAnsi="Times New Roman" w:eastAsia="仿宋_GB2312" w:cs="Times New Roman"/>
          <w:color w:val="000000" w:themeColor="text1"/>
          <w:sz w:val="24"/>
          <w:szCs w:val="24"/>
          <w14:textFill>
            <w14:solidFill>
              <w14:schemeClr w14:val="tx1"/>
            </w14:solidFill>
          </w14:textFill>
        </w:rPr>
        <w:t>年</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营业</w:t>
      </w:r>
      <w:r>
        <w:rPr>
          <w:rFonts w:hint="default" w:ascii="Times New Roman" w:hAnsi="Times New Roman" w:eastAsia="仿宋_GB2312" w:cs="Times New Roman"/>
          <w:color w:val="000000" w:themeColor="text1"/>
          <w:sz w:val="24"/>
          <w:szCs w:val="24"/>
          <w14:textFill>
            <w14:solidFill>
              <w14:schemeClr w14:val="tx1"/>
            </w14:solidFill>
          </w14:textFill>
        </w:rPr>
        <w:t>收入总额</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，A2=2019</w:t>
      </w:r>
      <w:r>
        <w:rPr>
          <w:rFonts w:hint="default" w:ascii="Times New Roman" w:hAnsi="Times New Roman" w:eastAsia="仿宋_GB2312" w:cs="Times New Roman"/>
          <w:color w:val="000000" w:themeColor="text1"/>
          <w:sz w:val="24"/>
          <w:szCs w:val="24"/>
          <w14:textFill>
            <w14:solidFill>
              <w14:schemeClr w14:val="tx1"/>
            </w14:solidFill>
          </w14:textFill>
        </w:rPr>
        <w:t>年</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营业</w:t>
      </w:r>
      <w:r>
        <w:rPr>
          <w:rFonts w:hint="default" w:ascii="Times New Roman" w:hAnsi="Times New Roman" w:eastAsia="仿宋_GB2312" w:cs="Times New Roman"/>
          <w:color w:val="000000" w:themeColor="text1"/>
          <w:sz w:val="24"/>
          <w:szCs w:val="24"/>
          <w14:textFill>
            <w14:solidFill>
              <w14:schemeClr w14:val="tx1"/>
            </w14:solidFill>
          </w14:textFill>
        </w:rPr>
        <w:t>收入总额</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计算公式为：=((A1/A2)^(1/3)</w:t>
      </w:r>
      <w:r>
        <w:rPr>
          <w:rFonts w:hint="default" w:ascii="Times New Roman" w:hAnsi="Times New Roman" w:eastAsia="仿宋_GB2312" w:cs="Times New Roman"/>
          <w:color w:val="000000" w:themeColor="text1"/>
          <w:sz w:val="24"/>
          <w:szCs w:val="24"/>
          <w14:textFill>
            <w14:solidFill>
              <w14:schemeClr w14:val="tx1"/>
            </w14:solidFill>
          </w14:textFill>
        </w:rPr>
        <w:t>－</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1)*100%。</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此外，</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w:t>
      </w:r>
      <w:r>
        <w:rPr>
          <w:rFonts w:hint="default" w:ascii="Times New Roman" w:hAnsi="Times New Roman" w:eastAsia="仿宋_GB2312" w:cs="Times New Roman"/>
          <w:b w:val="0"/>
          <w:color w:val="000000" w:themeColor="text1"/>
          <w:sz w:val="24"/>
          <w:szCs w:val="24"/>
          <w:highlight w:val="none"/>
          <w14:textFill>
            <w14:solidFill>
              <w14:schemeClr w14:val="tx1"/>
            </w14:solidFill>
          </w14:textFill>
        </w:rPr>
        <w:t>近三年</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全县（市、区）</w:t>
      </w:r>
      <w:r>
        <w:rPr>
          <w:rFonts w:hint="default" w:ascii="Times New Roman" w:hAnsi="Times New Roman" w:eastAsia="仿宋_GB2312" w:cs="Times New Roman"/>
          <w:b w:val="0"/>
          <w:color w:val="000000" w:themeColor="text1"/>
          <w:sz w:val="24"/>
          <w:szCs w:val="24"/>
          <w:highlight w:val="none"/>
          <w14:textFill>
            <w14:solidFill>
              <w14:schemeClr w14:val="tx1"/>
            </w14:solidFill>
          </w14:textFill>
        </w:rPr>
        <w:t>带动本地农产品销售额</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”指20</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202</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年全县（市、区）休闲农业带动本地农产品销售额的三年平均值。</w:t>
      </w:r>
    </w:p>
    <w:p>
      <w:pPr>
        <w:keepNext w:val="0"/>
        <w:keepLines w:val="0"/>
        <w:pageBreakBefore w:val="0"/>
        <w:kinsoku/>
        <w:wordWrap/>
        <w:overflowPunct/>
        <w:topLinePunct w:val="0"/>
        <w:autoSpaceDE/>
        <w:autoSpaceDN/>
        <w:bidi w:val="0"/>
        <w:adjustRightInd/>
        <w:snapToGrid w:val="0"/>
        <w:ind w:right="105" w:rightChars="50" w:firstLine="480" w:firstLineChars="200"/>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2.农村无害化卫生户厕普及率（%）：县域内使用无害化卫生厕所的农户占农户总数的比例。无害化卫生厕所符合执行《农村户厕卫生标准》（GB</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14:textFill>
            <w14:solidFill>
              <w14:schemeClr w14:val="tx1"/>
            </w14:solidFill>
          </w14:textFill>
        </w:rPr>
        <w:t>19379</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20</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1</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14:textFill>
            <w14:solidFill>
              <w14:schemeClr w14:val="tx1"/>
            </w14:solidFill>
          </w14:textFill>
        </w:rPr>
        <w:t>）。计算公式：农村无害化卫生户厕普及率=县域内使用无害化卫生厕所</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的农户</w:t>
      </w:r>
      <w:r>
        <w:rPr>
          <w:rFonts w:hint="default" w:ascii="Times New Roman" w:hAnsi="Times New Roman" w:eastAsia="仿宋_GB2312" w:cs="Times New Roman"/>
          <w:color w:val="000000" w:themeColor="text1"/>
          <w:sz w:val="24"/>
          <w:szCs w:val="24"/>
          <w14:textFill>
            <w14:solidFill>
              <w14:schemeClr w14:val="tx1"/>
            </w14:solidFill>
          </w14:textFill>
        </w:rPr>
        <w:t>数量/农户总数×100%。</w:t>
      </w:r>
    </w:p>
    <w:p>
      <w:pPr>
        <w:keepNext w:val="0"/>
        <w:keepLines w:val="0"/>
        <w:pageBreakBefore w:val="0"/>
        <w:widowControl/>
        <w:kinsoku/>
        <w:wordWrap/>
        <w:overflowPunct/>
        <w:topLinePunct w:val="0"/>
        <w:autoSpaceDE/>
        <w:autoSpaceDN/>
        <w:bidi w:val="0"/>
        <w:adjustRightInd/>
        <w:snapToGrid w:val="0"/>
        <w:ind w:right="105" w:rightChars="50" w:firstLine="480" w:firstLineChars="200"/>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3.农村生活垃圾收运处理的自然村比例（%）：县域内对生活垃圾进行集中收运处理的村庄占自然村总数的比例。计算公式：农村生活垃圾收运处理的自然村比例=县域内对生活垃圾进行集中收运处理的</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自然村</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数量</w:t>
      </w:r>
      <w:r>
        <w:rPr>
          <w:rFonts w:hint="default" w:ascii="Times New Roman" w:hAnsi="Times New Roman" w:eastAsia="仿宋_GB2312" w:cs="Times New Roman"/>
          <w:color w:val="000000" w:themeColor="text1"/>
          <w:sz w:val="24"/>
          <w:szCs w:val="24"/>
          <w14:textFill>
            <w14:solidFill>
              <w14:schemeClr w14:val="tx1"/>
            </w14:solidFill>
          </w14:textFill>
        </w:rPr>
        <w:t>/自然村总数×100%。</w:t>
      </w:r>
    </w:p>
    <w:p>
      <w:pPr>
        <w:keepNext w:val="0"/>
        <w:keepLines w:val="0"/>
        <w:pageBreakBefore w:val="0"/>
        <w:widowControl/>
        <w:kinsoku/>
        <w:wordWrap/>
        <w:overflowPunct/>
        <w:topLinePunct w:val="0"/>
        <w:autoSpaceDE/>
        <w:autoSpaceDN/>
        <w:bidi w:val="0"/>
        <w:adjustRightInd/>
        <w:snapToGrid w:val="0"/>
        <w:ind w:right="105" w:rightChars="50" w:firstLine="480" w:firstLineChars="200"/>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4.休闲农业聚集村：</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以农业为基础、农民为主体，依托自然与文化资源因地制宜发展休闲农业和乡村旅游，具有较强的示范辐射和带动作用的行政村。全村从事休闲产业生产经营活动农户数占比达到30%以上，单项休闲业态形成一定规模、或者多项业态形成聚集联动效应，休闲农业总产值（含休闲产品销售）占全村经济总产值50%以上。</w:t>
      </w:r>
    </w:p>
    <w:p>
      <w:pPr>
        <w:keepNext w:val="0"/>
        <w:keepLines w:val="0"/>
        <w:pageBreakBefore w:val="0"/>
        <w:widowControl/>
        <w:kinsoku/>
        <w:wordWrap/>
        <w:overflowPunct/>
        <w:topLinePunct w:val="0"/>
        <w:autoSpaceDE/>
        <w:autoSpaceDN/>
        <w:bidi w:val="0"/>
        <w:adjustRightInd/>
        <w:snapToGrid w:val="0"/>
        <w:ind w:right="105" w:rightChars="50" w:firstLine="480" w:firstLineChars="200"/>
        <w:textAlignment w:val="auto"/>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5.非物质文化遗产数量（个）：县域内列入省级及以上非物质文化遗产名录的遗产数量。</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val="0"/>
        <w:ind w:right="105" w:rightChars="50" w:firstLine="480" w:firstLineChars="200"/>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6.地市级（含）以上科普教育基地数量（个）：由地市级及以上部门认定的科普基地、研学基地、学农劳动、自然探究等实践基地的数量。</w:t>
      </w:r>
    </w:p>
    <w:p>
      <w:pPr>
        <w:keepNext w:val="0"/>
        <w:keepLines w:val="0"/>
        <w:pageBreakBefore w:val="0"/>
        <w:widowControl/>
        <w:kinsoku/>
        <w:wordWrap/>
        <w:overflowPunct/>
        <w:topLinePunct w:val="0"/>
        <w:autoSpaceDE/>
        <w:autoSpaceDN/>
        <w:bidi w:val="0"/>
        <w:adjustRightInd/>
        <w:snapToGrid w:val="0"/>
        <w:ind w:right="105" w:rightChars="50" w:firstLine="480" w:firstLineChars="200"/>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7.生态休闲项目类型：指各地践行“两山理论”，依托山水林田湖草沙等生态资源优势，结合农业资源保护利用、农村生态文明建设，形成的生态休闲体验项目，实现生态资源价值的转化。主要包括以下6种类型：一是山地休闲类，依托高山、丘陵、谷地等山地资源形成的山村度假、山地露营、山地慢跑、山地骑行、山地攀岩等；二是水上休闲类，依托海湾、河流、湖面等水资源和渔业生产开展的休闲垂钓、渔捕体验、游艇观光、温泉水疗、水上漂流等；三是森林休闲类，例如竹海漫游、林果采摘、林下采药、森林人家、森林康养等；四是农田景观休闲类，例如七彩稻田、金色麦浪、油菜花海、向日葵花海、稻渔共生、梯田景观等；五是草地休闲类，例如草原游牧、骑马射箭、赛马摔跤、草原蒙古包、草坡滑草、草原星空等；六是沙漠休闲类，例如戈壁农业、沙漠绿洲、沙海漫游、荒漠露营等。数量不超过6个，请提供项目年营业收入、参与人数、开展照片、视频、公开报道等证明材料。</w:t>
      </w:r>
    </w:p>
    <w:p>
      <w:pPr>
        <w:keepNext w:val="0"/>
        <w:keepLines w:val="0"/>
        <w:pageBreakBefore w:val="0"/>
        <w:widowControl/>
        <w:kinsoku/>
        <w:wordWrap/>
        <w:overflowPunct/>
        <w:topLinePunct w:val="0"/>
        <w:autoSpaceDE/>
        <w:autoSpaceDN/>
        <w:bidi w:val="0"/>
        <w:adjustRightInd/>
        <w:snapToGrid w:val="0"/>
        <w:ind w:right="105" w:rightChars="50" w:firstLine="480" w:firstLineChars="200"/>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8.乡村休闲文化体验项目类型：指各地依托特色农业农村资源和农业文化遗产，形成的乡村休闲文化体验项目，包括以下6种类型：一是特色乡土美食类，指基于当地产特色农产品开发的乡村美食项目；二是特色农事体验类，指诸如采茶制茶、草莓采摘、插秧收稻、踩麦收麦、萌宠乐园、垂钓捕捞等依托当地特色农业生产活动开展的农耕体验项目；三是民俗文化节庆类，指诸如县级以上政府相关部门主办的傣族泼水节、渔民迎接龙王等当地传统节日活动，或具有长期规划的民俗文化村、特色小镇项目等；四是传统手工技艺类，指诸如陶艺、刺绣、剪纸、蜡染、手工造纸、民族服饰等传统精湛的生产工艺展示和体验项目；五是特色艺术表演类，诸如地方戏剧曲艺、山歌民舞、田园夜景灯光、“印象”系列等大型实景演项目；六是地方历史文化</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重现</w:t>
      </w:r>
      <w:r>
        <w:rPr>
          <w:rFonts w:hint="default" w:ascii="Times New Roman" w:hAnsi="Times New Roman" w:eastAsia="仿宋_GB2312" w:cs="Times New Roman"/>
          <w:color w:val="000000" w:themeColor="text1"/>
          <w:sz w:val="24"/>
          <w:szCs w:val="24"/>
          <w14:textFill>
            <w14:solidFill>
              <w14:schemeClr w14:val="tx1"/>
            </w14:solidFill>
          </w14:textFill>
        </w:rPr>
        <w:t>类，指基于地方现存的古建筑、传统村落、传统园林、历史遗迹</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和在当地发生的重大历史文化事件</w:t>
      </w:r>
      <w:r>
        <w:rPr>
          <w:rFonts w:hint="default" w:ascii="Times New Roman" w:hAnsi="Times New Roman" w:eastAsia="仿宋_GB2312" w:cs="Times New Roman"/>
          <w:color w:val="000000" w:themeColor="text1"/>
          <w:sz w:val="24"/>
          <w:szCs w:val="24"/>
          <w14:textFill>
            <w14:solidFill>
              <w14:schemeClr w14:val="tx1"/>
            </w14:solidFill>
          </w14:textFill>
        </w:rPr>
        <w:t>以及近代红色文化资源而开发</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场景重现、历史文化情景剧等</w:t>
      </w:r>
      <w:r>
        <w:rPr>
          <w:rFonts w:hint="default" w:ascii="Times New Roman" w:hAnsi="Times New Roman" w:eastAsia="仿宋_GB2312" w:cs="Times New Roman"/>
          <w:color w:val="000000" w:themeColor="text1"/>
          <w:sz w:val="24"/>
          <w:szCs w:val="24"/>
          <w14:textFill>
            <w14:solidFill>
              <w14:schemeClr w14:val="tx1"/>
            </w14:solidFill>
          </w14:textFill>
        </w:rPr>
        <w:t>休闲体验项目。数量不超过6个，请提供项目年营业收入、参与人数、开展照片、视频、公开报道等证明材料。</w:t>
      </w:r>
    </w:p>
    <w:p>
      <w:pPr>
        <w:keepNext w:val="0"/>
        <w:keepLines w:val="0"/>
        <w:pageBreakBefore w:val="0"/>
        <w:widowControl/>
        <w:kinsoku/>
        <w:wordWrap/>
        <w:overflowPunct/>
        <w:topLinePunct w:val="0"/>
        <w:autoSpaceDE/>
        <w:autoSpaceDN/>
        <w:bidi w:val="0"/>
        <w:adjustRightInd/>
        <w:snapToGrid w:val="0"/>
        <w:ind w:right="105" w:rightChars="50" w:firstLine="480" w:firstLineChars="200"/>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9.村庄绿化覆盖率（%）：指村庄绿化植物的垂直投影面积占村庄总用地面积的比值。计算公式：村庄绿化覆盖率=是指村庄绿化植物的垂直投影</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面积</w:t>
      </w:r>
      <w:r>
        <w:rPr>
          <w:rFonts w:hint="default" w:ascii="Times New Roman" w:hAnsi="Times New Roman" w:eastAsia="仿宋_GB2312" w:cs="Times New Roman"/>
          <w:color w:val="000000" w:themeColor="text1"/>
          <w:sz w:val="24"/>
          <w:szCs w:val="24"/>
          <w14:textFill>
            <w14:solidFill>
              <w14:schemeClr w14:val="tx1"/>
            </w14:solidFill>
          </w14:textFill>
        </w:rPr>
        <w:t>/村庄总用地面积×100%。</w:t>
      </w:r>
    </w:p>
    <w:p>
      <w:pPr>
        <w:keepNext w:val="0"/>
        <w:keepLines w:val="0"/>
        <w:pageBreakBefore w:val="0"/>
        <w:widowControl/>
        <w:kinsoku/>
        <w:wordWrap/>
        <w:overflowPunct/>
        <w:topLinePunct w:val="0"/>
        <w:autoSpaceDE/>
        <w:autoSpaceDN/>
        <w:bidi w:val="0"/>
        <w:adjustRightInd/>
        <w:snapToGrid w:val="0"/>
        <w:ind w:right="105" w:rightChars="50" w:firstLine="480" w:firstLineChars="200"/>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10.</w:t>
      </w:r>
      <w:r>
        <w:rPr>
          <w:rFonts w:hint="default" w:ascii="Times New Roman" w:hAnsi="Times New Roman" w:eastAsia="仿宋_GB2312" w:cs="Times New Roman"/>
          <w:b w:val="0"/>
          <w:color w:val="000000" w:themeColor="text1"/>
          <w:sz w:val="24"/>
          <w:szCs w:val="24"/>
          <w:highlight w:val="none"/>
          <w14:textFill>
            <w14:solidFill>
              <w14:schemeClr w14:val="tx1"/>
            </w14:solidFill>
          </w14:textFill>
        </w:rPr>
        <w:t>全县（市、区）</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近三年</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带动本地农产品销售额（万元）</w:t>
      </w:r>
      <w:r>
        <w:rPr>
          <w:rFonts w:hint="default" w:ascii="Times New Roman" w:hAnsi="Times New Roman" w:eastAsia="仿宋_GB2312" w:cs="Times New Roman"/>
          <w:color w:val="000000" w:themeColor="text1"/>
          <w:sz w:val="24"/>
          <w:szCs w:val="24"/>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20</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202</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年</w:t>
      </w:r>
      <w:r>
        <w:rPr>
          <w:rFonts w:hint="default" w:ascii="Times New Roman" w:hAnsi="Times New Roman" w:eastAsia="仿宋_GB2312" w:cs="Times New Roman"/>
          <w:b w:val="0"/>
          <w:color w:val="000000" w:themeColor="text1"/>
          <w:sz w:val="24"/>
          <w:szCs w:val="24"/>
          <w:highlight w:val="none"/>
          <w14:textFill>
            <w14:solidFill>
              <w14:schemeClr w14:val="tx1"/>
            </w14:solidFill>
          </w14:textFill>
        </w:rPr>
        <w:t>全县（市、区）</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通过休闲农业带动地产农产品销售的年均金额。</w:t>
      </w:r>
    </w:p>
    <w:p>
      <w:pPr>
        <w:keepNext w:val="0"/>
        <w:keepLines w:val="0"/>
        <w:pageBreakBefore w:val="0"/>
        <w:widowControl/>
        <w:kinsoku/>
        <w:wordWrap/>
        <w:overflowPunct/>
        <w:topLinePunct w:val="0"/>
        <w:autoSpaceDE/>
        <w:autoSpaceDN/>
        <w:bidi w:val="0"/>
        <w:adjustRightInd/>
        <w:snapToGrid w:val="0"/>
        <w:ind w:right="105" w:rightChars="50" w:firstLine="480" w:firstLineChars="200"/>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11.休闲农业聚集村规划覆盖率（%）：是指已编制村庄建设规划（需涵盖休闲农业专项内容）或村域休闲农业专项规划的休闲农业聚集村与全县休闲农业聚集村总数之比。计算公式：休闲农业聚集村规划覆盖率=休闲农业聚集村中已编制休闲农业相关规划的村庄数量/休闲农业聚集村总数×100%。</w:t>
      </w:r>
    </w:p>
    <w:p>
      <w:pPr>
        <w:keepNext w:val="0"/>
        <w:keepLines w:val="0"/>
        <w:pageBreakBefore w:val="0"/>
        <w:widowControl/>
        <w:kinsoku/>
        <w:wordWrap/>
        <w:overflowPunct/>
        <w:topLinePunct w:val="0"/>
        <w:autoSpaceDE/>
        <w:autoSpaceDN/>
        <w:bidi w:val="0"/>
        <w:adjustRightInd/>
        <w:snapToGrid w:val="0"/>
        <w:ind w:right="105" w:rightChars="50" w:firstLine="480" w:firstLineChars="200"/>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12.休闲农业培训覆盖率（%）：指每年参加休闲农业相关培训的从业人员占比。休闲农业培训是指围绕提升农民综合素质、生产技能和经营管理能力对休闲农业经营主体进行的科学、系统、有组织的培训。计算公式：休闲农业培训覆盖率=每年参加休闲农业相关培训的从业人员数量/休闲农业从业人员总数×100%。</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105" w:rightChars="50" w:firstLine="480" w:firstLineChars="200"/>
        <w:textAlignment w:val="auto"/>
        <w:rPr>
          <w:rFonts w:hint="default" w:ascii="Times New Roman" w:hAnsi="Times New Roman" w:eastAsia="仿宋_GB2312" w:cs="Times New Roman"/>
          <w:color w:val="000000" w:themeColor="text1"/>
          <w:sz w:val="24"/>
          <w:szCs w:val="24"/>
          <w:highlight w:val="yellow"/>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13.</w:t>
      </w:r>
      <w:r>
        <w:rPr>
          <w:rFonts w:hint="default" w:ascii="Times New Roman" w:hAnsi="Times New Roman" w:eastAsia="仿宋_GB2312" w:cs="Times New Roman"/>
          <w:b w:val="0"/>
          <w:color w:val="000000" w:themeColor="text1"/>
          <w:sz w:val="24"/>
          <w:szCs w:val="24"/>
          <w:highlight w:val="none"/>
          <w:lang w:val="en-US" w:eastAsia="zh-CN"/>
          <w14:textFill>
            <w14:solidFill>
              <w14:schemeClr w14:val="tx1"/>
            </w14:solidFill>
          </w14:textFill>
        </w:rPr>
        <w:t>全县农业主导产业：指按第一产业核算农业产业产值排第一的产业。</w:t>
      </w:r>
      <w:r>
        <w:rPr>
          <w:rFonts w:hint="default" w:ascii="Times New Roman" w:hAnsi="Times New Roman" w:eastAsia="仿宋_GB2312" w:cs="Times New Roman"/>
          <w:b w:val="0"/>
          <w:bCs w:val="0"/>
          <w:color w:val="000000" w:themeColor="text1"/>
          <w:sz w:val="24"/>
          <w:szCs w:val="24"/>
          <w:highlight w:val="none"/>
          <w14:textFill>
            <w14:solidFill>
              <w14:schemeClr w14:val="tx1"/>
            </w14:solidFill>
          </w14:textFill>
        </w:rPr>
        <w:t>请从粮食产业、油料产业、生猪产业、牛产业、羊产业、奶业、禽产业、蛋产业、渔业、水果产业、蔬菜产业、茶产业等产业中选择填写本县202</w:t>
      </w:r>
      <w:r>
        <w:rPr>
          <w:rFonts w:hint="default" w:ascii="Times New Roman" w:hAnsi="Times New Roman" w:eastAsia="仿宋_GB2312" w:cs="Times New Roman"/>
          <w:b w:val="0"/>
          <w:bCs w:val="0"/>
          <w:color w:val="000000" w:themeColor="text1"/>
          <w:sz w:val="24"/>
          <w:szCs w:val="24"/>
          <w:highlight w:val="none"/>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24"/>
          <w:szCs w:val="24"/>
          <w:highlight w:val="none"/>
          <w14:textFill>
            <w14:solidFill>
              <w14:schemeClr w14:val="tx1"/>
            </w14:solidFill>
          </w14:textFill>
        </w:rPr>
        <w:t>年</w:t>
      </w:r>
      <w:r>
        <w:rPr>
          <w:rFonts w:hint="default" w:ascii="Times New Roman" w:hAnsi="Times New Roman" w:eastAsia="仿宋_GB2312" w:cs="Times New Roman"/>
          <w:b w:val="0"/>
          <w:bCs w:val="0"/>
          <w:color w:val="000000" w:themeColor="text1"/>
          <w:sz w:val="24"/>
          <w:szCs w:val="24"/>
          <w:highlight w:val="none"/>
          <w:lang w:val="en-US" w:eastAsia="zh-CN"/>
          <w14:textFill>
            <w14:solidFill>
              <w14:schemeClr w14:val="tx1"/>
            </w14:solidFill>
          </w14:textFill>
        </w:rPr>
        <w:t>农业</w:t>
      </w:r>
      <w:r>
        <w:rPr>
          <w:rFonts w:hint="default" w:ascii="Times New Roman" w:hAnsi="Times New Roman" w:eastAsia="仿宋_GB2312" w:cs="Times New Roman"/>
          <w:b w:val="0"/>
          <w:bCs w:val="0"/>
          <w:color w:val="000000" w:themeColor="text1"/>
          <w:sz w:val="24"/>
          <w:szCs w:val="24"/>
          <w:highlight w:val="none"/>
          <w14:textFill>
            <w14:solidFill>
              <w14:schemeClr w14:val="tx1"/>
            </w14:solidFill>
          </w14:textFill>
        </w:rPr>
        <w:t>产值排第一的产业名称。如某县202</w:t>
      </w:r>
      <w:r>
        <w:rPr>
          <w:rFonts w:hint="default" w:ascii="Times New Roman" w:hAnsi="Times New Roman" w:eastAsia="仿宋_GB2312" w:cs="Times New Roman"/>
          <w:b w:val="0"/>
          <w:bCs w:val="0"/>
          <w:color w:val="000000" w:themeColor="text1"/>
          <w:sz w:val="24"/>
          <w:szCs w:val="24"/>
          <w:highlight w:val="none"/>
          <w:lang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24"/>
          <w:szCs w:val="24"/>
          <w:highlight w:val="none"/>
          <w14:textFill>
            <w14:solidFill>
              <w14:schemeClr w14:val="tx1"/>
            </w14:solidFill>
          </w14:textFill>
        </w:rPr>
        <w:t>年粮食产值在所有农业产业中</w:t>
      </w:r>
      <w:r>
        <w:rPr>
          <w:rFonts w:hint="default" w:ascii="Times New Roman" w:hAnsi="Times New Roman" w:eastAsia="仿宋_GB2312" w:cs="Times New Roman"/>
          <w:b w:val="0"/>
          <w:bCs w:val="0"/>
          <w:color w:val="000000" w:themeColor="text1"/>
          <w:sz w:val="24"/>
          <w:szCs w:val="24"/>
          <w:highlight w:val="none"/>
          <w:lang w:val="en-US" w:eastAsia="zh-CN"/>
          <w14:textFill>
            <w14:solidFill>
              <w14:schemeClr w14:val="tx1"/>
            </w14:solidFill>
          </w14:textFill>
        </w:rPr>
        <w:t>产值</w:t>
      </w:r>
      <w:r>
        <w:rPr>
          <w:rFonts w:hint="default" w:ascii="Times New Roman" w:hAnsi="Times New Roman" w:eastAsia="仿宋_GB2312" w:cs="Times New Roman"/>
          <w:b w:val="0"/>
          <w:bCs w:val="0"/>
          <w:color w:val="000000" w:themeColor="text1"/>
          <w:sz w:val="24"/>
          <w:szCs w:val="24"/>
          <w:highlight w:val="none"/>
          <w14:textFill>
            <w14:solidFill>
              <w14:schemeClr w14:val="tx1"/>
            </w14:solidFill>
          </w14:textFill>
        </w:rPr>
        <w:t>排第一，则填粮</w:t>
      </w:r>
      <w:r>
        <w:rPr>
          <w:rFonts w:hint="default" w:ascii="Times New Roman" w:hAnsi="Times New Roman" w:eastAsia="仿宋_GB2312" w:cs="Times New Roman"/>
          <w:b w:val="0"/>
          <w:bCs w:val="0"/>
          <w:color w:val="000000" w:themeColor="text1"/>
          <w:sz w:val="24"/>
          <w:szCs w:val="24"/>
          <w:highlight w:val="none"/>
          <w:lang w:val="en-US" w:eastAsia="zh-CN"/>
          <w14:textFill>
            <w14:solidFill>
              <w14:schemeClr w14:val="tx1"/>
            </w14:solidFill>
          </w14:textFill>
        </w:rPr>
        <w:t>食产业</w:t>
      </w:r>
      <w:r>
        <w:rPr>
          <w:rFonts w:hint="default" w:ascii="Times New Roman" w:hAnsi="Times New Roman" w:eastAsia="仿宋_GB2312" w:cs="Times New Roman"/>
          <w:b w:val="0"/>
          <w:bCs w:val="0"/>
          <w:color w:val="000000" w:themeColor="text1"/>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240" w:lineRule="auto"/>
        <w:ind w:right="105" w:rightChars="50" w:firstLine="480" w:firstLineChars="200"/>
        <w:textAlignment w:val="auto"/>
        <w:rPr>
          <w:rFonts w:hint="default" w:ascii="Times New Roman" w:hAnsi="Times New Roman" w:eastAsia="仿宋_GB2312" w:cs="Times New Roman"/>
          <w:b w:val="0"/>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14.</w:t>
      </w:r>
      <w:r>
        <w:rPr>
          <w:rFonts w:hint="default" w:ascii="Times New Roman" w:hAnsi="Times New Roman" w:eastAsia="仿宋_GB2312" w:cs="Times New Roman"/>
          <w:b w:val="0"/>
          <w:color w:val="000000" w:themeColor="text1"/>
          <w:sz w:val="24"/>
          <w:szCs w:val="24"/>
          <w:highlight w:val="none"/>
          <w14:textFill>
            <w14:solidFill>
              <w14:schemeClr w14:val="tx1"/>
            </w14:solidFill>
          </w14:textFill>
        </w:rPr>
        <w:t>休闲农业对农业主导产业</w:t>
      </w:r>
      <w:r>
        <w:rPr>
          <w:rFonts w:hint="default" w:ascii="Times New Roman" w:hAnsi="Times New Roman" w:eastAsia="仿宋_GB2312" w:cs="Times New Roman"/>
          <w:b w:val="0"/>
          <w:color w:val="000000" w:themeColor="text1"/>
          <w:sz w:val="24"/>
          <w:szCs w:val="24"/>
          <w:highlight w:val="none"/>
          <w:lang w:val="en-US" w:eastAsia="zh-CN"/>
          <w14:textFill>
            <w14:solidFill>
              <w14:schemeClr w14:val="tx1"/>
            </w14:solidFill>
          </w14:textFill>
        </w:rPr>
        <w:t>全产业链</w:t>
      </w:r>
      <w:r>
        <w:rPr>
          <w:rFonts w:hint="default" w:ascii="Times New Roman" w:hAnsi="Times New Roman" w:eastAsia="仿宋_GB2312" w:cs="Times New Roman"/>
          <w:b w:val="0"/>
          <w:color w:val="000000" w:themeColor="text1"/>
          <w:sz w:val="24"/>
          <w:szCs w:val="24"/>
          <w:highlight w:val="none"/>
          <w14:textFill>
            <w14:solidFill>
              <w14:schemeClr w14:val="tx1"/>
            </w14:solidFill>
          </w14:textFill>
        </w:rPr>
        <w:t>产值贡献率</w:t>
      </w:r>
      <w:r>
        <w:rPr>
          <w:rFonts w:hint="default" w:ascii="Times New Roman" w:hAnsi="Times New Roman" w:eastAsia="仿宋_GB2312" w:cs="Times New Roman"/>
          <w:b w:val="0"/>
          <w:color w:val="000000" w:themeColor="text1"/>
          <w:sz w:val="24"/>
          <w:szCs w:val="24"/>
          <w:highlight w:val="none"/>
          <w:lang w:eastAsia="zh-CN"/>
          <w14:textFill>
            <w14:solidFill>
              <w14:schemeClr w14:val="tx1"/>
            </w14:solidFill>
          </w14:textFill>
        </w:rPr>
        <w:t>：依托农业主导产业延伸拓展休闲体验功能而获得的休闲农业产值/农业主导产业全产业链产值×100%（请用2022年的数据）。例如：2022年某县农业主导产业为油料</w:t>
      </w:r>
      <w:r>
        <w:rPr>
          <w:rFonts w:hint="default" w:ascii="Times New Roman" w:hAnsi="Times New Roman" w:eastAsia="仿宋_GB2312" w:cs="Times New Roman"/>
          <w:color w:val="000000" w:themeColor="text1"/>
          <w:sz w:val="24"/>
          <w:szCs w:val="24"/>
          <w14:textFill>
            <w14:solidFill>
              <w14:schemeClr w14:val="tx1"/>
            </w14:solidFill>
          </w14:textFill>
        </w:rPr>
        <w:t>（</w:t>
      </w:r>
      <w:r>
        <w:rPr>
          <w:rFonts w:hint="default" w:ascii="Times New Roman" w:hAnsi="Times New Roman" w:eastAsia="仿宋_GB2312" w:cs="Times New Roman"/>
          <w:b w:val="0"/>
          <w:color w:val="000000" w:themeColor="text1"/>
          <w:sz w:val="24"/>
          <w:szCs w:val="24"/>
          <w:highlight w:val="none"/>
          <w:lang w:eastAsia="zh-CN"/>
          <w14:textFill>
            <w14:solidFill>
              <w14:schemeClr w14:val="tx1"/>
            </w14:solidFill>
          </w14:textFill>
        </w:rPr>
        <w:t>油菜</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w:t>
      </w:r>
      <w:r>
        <w:rPr>
          <w:rFonts w:hint="default" w:ascii="Times New Roman" w:hAnsi="Times New Roman" w:eastAsia="仿宋_GB2312" w:cs="Times New Roman"/>
          <w:b w:val="0"/>
          <w:color w:val="000000" w:themeColor="text1"/>
          <w:sz w:val="24"/>
          <w:szCs w:val="24"/>
          <w:highlight w:val="none"/>
          <w:lang w:eastAsia="zh-CN"/>
          <w14:textFill>
            <w14:solidFill>
              <w14:schemeClr w14:val="tx1"/>
            </w14:solidFill>
          </w14:textFill>
        </w:rPr>
        <w:t>，油料全产业链产值为40亿元，该县依托油菜种植、油料加工等第一二产业向休闲农业延伸拓展，开展油菜花海休闲体验、油菜种植科普教育、油</w:t>
      </w:r>
      <w:r>
        <w:rPr>
          <w:rFonts w:hint="default" w:ascii="Times New Roman" w:hAnsi="Times New Roman" w:eastAsia="仿宋_GB2312" w:cs="Times New Roman"/>
          <w:b w:val="0"/>
          <w:color w:val="000000" w:themeColor="text1"/>
          <w:sz w:val="24"/>
          <w:szCs w:val="24"/>
          <w:highlight w:val="none"/>
          <w:lang w:val="en-US" w:eastAsia="zh-CN"/>
          <w14:textFill>
            <w14:solidFill>
              <w14:schemeClr w14:val="tx1"/>
            </w14:solidFill>
          </w14:textFill>
        </w:rPr>
        <w:t>菜花休闲工艺品</w:t>
      </w:r>
      <w:r>
        <w:rPr>
          <w:rFonts w:hint="default" w:ascii="Times New Roman" w:hAnsi="Times New Roman" w:eastAsia="仿宋_GB2312" w:cs="Times New Roman"/>
          <w:b w:val="0"/>
          <w:color w:val="000000" w:themeColor="text1"/>
          <w:sz w:val="24"/>
          <w:szCs w:val="24"/>
          <w:highlight w:val="none"/>
          <w:lang w:eastAsia="zh-CN"/>
          <w14:textFill>
            <w14:solidFill>
              <w14:schemeClr w14:val="tx1"/>
            </w14:solidFill>
          </w14:textFill>
        </w:rPr>
        <w:t>等休闲农业的产值为</w:t>
      </w:r>
      <w:r>
        <w:rPr>
          <w:rFonts w:hint="default" w:ascii="Times New Roman" w:hAnsi="Times New Roman" w:eastAsia="仿宋_GB2312" w:cs="Times New Roman"/>
          <w:b w:val="0"/>
          <w:color w:val="000000" w:themeColor="text1"/>
          <w:sz w:val="24"/>
          <w:szCs w:val="24"/>
          <w:highlight w:val="none"/>
          <w:lang w:val="en-US" w:eastAsia="zh-CN"/>
          <w14:textFill>
            <w14:solidFill>
              <w14:schemeClr w14:val="tx1"/>
            </w14:solidFill>
          </w14:textFill>
        </w:rPr>
        <w:t>8</w:t>
      </w:r>
      <w:r>
        <w:rPr>
          <w:rFonts w:hint="default" w:ascii="Times New Roman" w:hAnsi="Times New Roman" w:eastAsia="仿宋_GB2312" w:cs="Times New Roman"/>
          <w:b w:val="0"/>
          <w:color w:val="000000" w:themeColor="text1"/>
          <w:sz w:val="24"/>
          <w:szCs w:val="24"/>
          <w:highlight w:val="none"/>
          <w:lang w:eastAsia="zh-CN"/>
          <w14:textFill>
            <w14:solidFill>
              <w14:schemeClr w14:val="tx1"/>
            </w14:solidFill>
          </w14:textFill>
        </w:rPr>
        <w:t>亿，则贡献率为：</w:t>
      </w:r>
      <w:r>
        <w:rPr>
          <w:rFonts w:hint="default" w:ascii="Times New Roman" w:hAnsi="Times New Roman" w:eastAsia="仿宋_GB2312" w:cs="Times New Roman"/>
          <w:b w:val="0"/>
          <w:color w:val="000000" w:themeColor="text1"/>
          <w:sz w:val="24"/>
          <w:szCs w:val="24"/>
          <w:highlight w:val="none"/>
          <w:lang w:val="en-US" w:eastAsia="zh-CN"/>
          <w14:textFill>
            <w14:solidFill>
              <w14:schemeClr w14:val="tx1"/>
            </w14:solidFill>
          </w14:textFill>
        </w:rPr>
        <w:t>8</w:t>
      </w:r>
      <w:r>
        <w:rPr>
          <w:rFonts w:hint="default" w:ascii="Times New Roman" w:hAnsi="Times New Roman" w:eastAsia="仿宋_GB2312" w:cs="Times New Roman"/>
          <w:b w:val="0"/>
          <w:color w:val="000000" w:themeColor="text1"/>
          <w:sz w:val="24"/>
          <w:szCs w:val="24"/>
          <w:highlight w:val="none"/>
          <w:lang w:eastAsia="zh-CN"/>
          <w14:textFill>
            <w14:solidFill>
              <w14:schemeClr w14:val="tx1"/>
            </w14:solidFill>
          </w14:textFill>
        </w:rPr>
        <w:t>亿元/40亿元×100% =</w:t>
      </w:r>
      <w:r>
        <w:rPr>
          <w:rFonts w:hint="default" w:ascii="Times New Roman" w:hAnsi="Times New Roman" w:eastAsia="仿宋_GB2312" w:cs="Times New Roman"/>
          <w:b w:val="0"/>
          <w:color w:val="000000" w:themeColor="text1"/>
          <w:sz w:val="24"/>
          <w:szCs w:val="24"/>
          <w:highlight w:val="none"/>
          <w:lang w:val="en-US" w:eastAsia="zh-CN"/>
          <w14:textFill>
            <w14:solidFill>
              <w14:schemeClr w14:val="tx1"/>
            </w14:solidFill>
          </w14:textFill>
        </w:rPr>
        <w:t>2</w:t>
      </w:r>
      <w:r>
        <w:rPr>
          <w:rFonts w:hint="default" w:ascii="Times New Roman" w:hAnsi="Times New Roman" w:eastAsia="仿宋_GB2312" w:cs="Times New Roman"/>
          <w:b w:val="0"/>
          <w:color w:val="000000" w:themeColor="text1"/>
          <w:sz w:val="24"/>
          <w:szCs w:val="24"/>
          <w:highlight w:val="none"/>
          <w:lang w:eastAsia="zh-CN"/>
          <w14:textFill>
            <w14:solidFill>
              <w14:schemeClr w14:val="tx1"/>
            </w14:solidFill>
          </w14:textFill>
        </w:rPr>
        <w:t>0%。</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 w:cs="Times New Roman"/>
          <w:b w:val="0"/>
          <w:color w:val="000000" w:themeColor="text1"/>
          <w:sz w:val="24"/>
          <w:szCs w:val="24"/>
          <w:highlight w:val="none"/>
          <w:lang w:val="en-US" w:eastAsia="zh-CN"/>
          <w14:textFill>
            <w14:solidFill>
              <w14:schemeClr w14:val="tx1"/>
            </w14:solidFill>
          </w14:textFill>
        </w:rPr>
        <w:t>15.</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享受中央财政奖励政策的农业产业大县：</w:t>
      </w: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产粮（油）大县</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是指依据《财政部关于印发</w:t>
      </w:r>
      <w:r>
        <w:rPr>
          <w:rFonts w:hint="default" w:ascii="Times New Roman" w:hAnsi="Times New Roman" w:eastAsia="仿宋_GB2312" w:cs="Times New Roman"/>
          <w:i w:val="0"/>
          <w:iCs w:val="0"/>
          <w:caps w:val="0"/>
          <w:color w:val="333333"/>
          <w:spacing w:val="0"/>
          <w:sz w:val="24"/>
          <w:szCs w:val="24"/>
          <w:shd w:val="clear" w:fill="FFFFFF"/>
        </w:rPr>
        <w:t>〈</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产粮（油）大县奖励资金管理暂行办法</w:t>
      </w:r>
      <w:r>
        <w:rPr>
          <w:rFonts w:hint="default" w:ascii="Times New Roman" w:hAnsi="Times New Roman" w:eastAsia="仿宋_GB2312" w:cs="Times New Roman"/>
          <w:i w:val="0"/>
          <w:iCs w:val="0"/>
          <w:caps w:val="0"/>
          <w:color w:val="333333"/>
          <w:spacing w:val="0"/>
          <w:sz w:val="24"/>
          <w:szCs w:val="24"/>
          <w:shd w:val="clear" w:fill="FFFFFF"/>
        </w:rPr>
        <w:t>〉</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的通知》（财建〔2018〕413号）享受中央财政产粮（油）大县奖励资金的县。生猪（牛羊）调出大县是指依据《财政部关于印发</w:t>
      </w:r>
      <w:r>
        <w:rPr>
          <w:rFonts w:hint="default" w:ascii="Times New Roman" w:hAnsi="Times New Roman" w:eastAsia="仿宋_GB2312" w:cs="Times New Roman"/>
          <w:i w:val="0"/>
          <w:iCs w:val="0"/>
          <w:caps w:val="0"/>
          <w:color w:val="333333"/>
          <w:spacing w:val="0"/>
          <w:sz w:val="24"/>
          <w:szCs w:val="24"/>
          <w:shd w:val="clear" w:fill="FFFFFF"/>
        </w:rPr>
        <w:t>〈</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生猪（牛羊）调出大县奖励资金管理办法</w:t>
      </w:r>
      <w:r>
        <w:rPr>
          <w:rFonts w:hint="default" w:ascii="Times New Roman" w:hAnsi="Times New Roman" w:eastAsia="仿宋_GB2312" w:cs="Times New Roman"/>
          <w:i w:val="0"/>
          <w:iCs w:val="0"/>
          <w:caps w:val="0"/>
          <w:color w:val="333333"/>
          <w:spacing w:val="0"/>
          <w:sz w:val="24"/>
          <w:szCs w:val="24"/>
          <w:shd w:val="clear" w:fill="FFFFFF"/>
        </w:rPr>
        <w:t>〉</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的通知》（财建〔2015〕778号）享受中央财政生猪（牛羊）调出大县奖励资金的县。奶业大县是指依据《农业农村部办公厅、财政部办公厅关于实施奶业生产能力提升整县推进项目的通知》（农办牧〔2022〕13号）享受中央财政补助资金的县。</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A00002EF" w:usb1="420020E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9</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0OGU5NGM1YWU3NjIwZmZjMzc3MDMwMTZkYWM3NDQifQ=="/>
  </w:docVars>
  <w:rsids>
    <w:rsidRoot w:val="00000000"/>
    <w:rsid w:val="028E0BAB"/>
    <w:rsid w:val="0B300371"/>
    <w:rsid w:val="0B5877E4"/>
    <w:rsid w:val="0CEB1914"/>
    <w:rsid w:val="0CFD7FF3"/>
    <w:rsid w:val="0DDB0DAE"/>
    <w:rsid w:val="0E12651D"/>
    <w:rsid w:val="0F8660CA"/>
    <w:rsid w:val="118E28E4"/>
    <w:rsid w:val="126422AF"/>
    <w:rsid w:val="14E847A8"/>
    <w:rsid w:val="178617C1"/>
    <w:rsid w:val="1A8F67DE"/>
    <w:rsid w:val="1BC31CAE"/>
    <w:rsid w:val="1E9D55C7"/>
    <w:rsid w:val="28CF57EE"/>
    <w:rsid w:val="29AB7473"/>
    <w:rsid w:val="2B8D3E1A"/>
    <w:rsid w:val="2C5B4EA4"/>
    <w:rsid w:val="2C6D0C43"/>
    <w:rsid w:val="2CDC2BCF"/>
    <w:rsid w:val="2E4A251D"/>
    <w:rsid w:val="2EE65BF8"/>
    <w:rsid w:val="302C180D"/>
    <w:rsid w:val="328B3E7A"/>
    <w:rsid w:val="329124B1"/>
    <w:rsid w:val="32962666"/>
    <w:rsid w:val="34641E07"/>
    <w:rsid w:val="36A93107"/>
    <w:rsid w:val="38B975A8"/>
    <w:rsid w:val="3AAB39C7"/>
    <w:rsid w:val="3C716ED6"/>
    <w:rsid w:val="3CBF1A5E"/>
    <w:rsid w:val="40F204DE"/>
    <w:rsid w:val="432B3260"/>
    <w:rsid w:val="44891BBB"/>
    <w:rsid w:val="4C920781"/>
    <w:rsid w:val="4CC4300C"/>
    <w:rsid w:val="4DBA3A49"/>
    <w:rsid w:val="52B909A3"/>
    <w:rsid w:val="57603931"/>
    <w:rsid w:val="5C734529"/>
    <w:rsid w:val="5E513D4F"/>
    <w:rsid w:val="5EFD7C68"/>
    <w:rsid w:val="62BF5F4D"/>
    <w:rsid w:val="63175BC3"/>
    <w:rsid w:val="660B79B1"/>
    <w:rsid w:val="66F647CD"/>
    <w:rsid w:val="6A645153"/>
    <w:rsid w:val="6EC466C2"/>
    <w:rsid w:val="74A43DB1"/>
    <w:rsid w:val="75915FBF"/>
    <w:rsid w:val="7A0D74F1"/>
    <w:rsid w:val="7A985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10033</Words>
  <Characters>10558</Characters>
  <Lines>0</Lines>
  <Paragraphs>0</Paragraphs>
  <TotalTime>0</TotalTime>
  <ScaleCrop>false</ScaleCrop>
  <LinksUpToDate>false</LinksUpToDate>
  <CharactersWithSpaces>11110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2023-04-19T08:46:00Z</dcterms:created>
  <dc:creator>Dell</dc:creator>
  <cp:lastModifiedBy>DELL</cp:lastModifiedBy>
  <cp:lastPrinted>2023-06-01T00:11:00Z</cp:lastPrinted>
  <dcterms:modified xsi:type="dcterms:W3CDTF">2023-06-07T07:45:16Z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8E954526FE3644DBB74C6F04E86B06BA_13</vt:lpwstr>
  </property>
</Properties>
</file>